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</w:r>
    </w:p>
    <w:p>
      <w:pPr>
        <w:pStyle w:val="Normal"/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 xml:space="preserve">ДЕПАРТАМЕНТ ТРУДА, </w:t>
      </w:r>
    </w:p>
    <w:p>
      <w:pPr>
        <w:pStyle w:val="Normal"/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И СОЦИАЛЬНОЙ ЗАЩИТЫ НАСЕЛЕНИЯ</w:t>
      </w:r>
    </w:p>
    <w:p>
      <w:pPr>
        <w:pStyle w:val="Normal"/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НЕНЕЦКОГО АВТОНОМНОГО ОКРУГА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auto" w:line="360"/>
        <w:jc w:val="center"/>
        <w:rPr>
          <w:b/>
          <w:sz w:val="36"/>
        </w:rPr>
      </w:pPr>
      <w:r>
        <w:rPr>
          <w:b/>
          <w:sz w:val="36"/>
        </w:rPr>
        <w:t>ДОКЛАД</w:t>
      </w:r>
    </w:p>
    <w:p>
      <w:pPr>
        <w:pStyle w:val="Normal"/>
        <w:spacing w:lineRule="auto" w:line="360"/>
        <w:jc w:val="center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spacing w:lineRule="auto" w:line="360"/>
        <w:jc w:val="center"/>
        <w:rPr>
          <w:b/>
          <w:sz w:val="32"/>
        </w:rPr>
      </w:pPr>
      <w:r>
        <w:rPr>
          <w:b/>
          <w:sz w:val="32"/>
        </w:rPr>
        <w:t xml:space="preserve">О СОСТОЯНИИ </w:t>
        <w:br/>
        <w:t xml:space="preserve">ВЕДОМСТВЕННОГО КОНТРОЛЯ </w:t>
        <w:br/>
        <w:t xml:space="preserve">ЗА СОБЛЮДЕНИЕМ ТРУДОВОГО ЗАКОНОДАТЕЛЬСТВА </w:t>
        <w:br/>
        <w:t xml:space="preserve">И ИНЫХ НОРМАТИВНЫХ ПРАВОВЫХ АКТОВ, </w:t>
        <w:br/>
        <w:t xml:space="preserve">СОДЕРЖАЩИХ НОРМЫ ТРУДОВОГО ПРАВА, </w:t>
        <w:br/>
        <w:t>В НЕНЕЦКОМ АВТОНОМНОМ ОКРУГЕ</w:t>
      </w:r>
    </w:p>
    <w:p>
      <w:pPr>
        <w:pStyle w:val="Normal"/>
        <w:spacing w:lineRule="auto" w:line="360"/>
        <w:jc w:val="center"/>
        <w:rPr>
          <w:b/>
          <w:sz w:val="32"/>
        </w:rPr>
      </w:pPr>
      <w:r>
        <w:rPr>
          <w:b/>
          <w:sz w:val="32"/>
        </w:rPr>
        <w:t>В 2025 ГОДУ</w:t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both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Нарьян-Мар</w:t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2026</w:t>
      </w:r>
    </w:p>
    <w:p>
      <w:pPr>
        <w:pStyle w:val="Normal"/>
        <w:jc w:val="center"/>
        <w:rPr>
          <w:b/>
          <w:sz w:val="24"/>
        </w:rPr>
      </w:pPr>
      <w:r>
        <w:rPr/>
      </w:r>
    </w:p>
    <w:p>
      <w:pPr>
        <w:pStyle w:val="Normal"/>
        <w:jc w:val="center"/>
        <w:rPr>
          <w:b/>
          <w:sz w:val="24"/>
        </w:rPr>
      </w:pPr>
      <w:r>
        <w:rPr/>
      </w:r>
    </w:p>
    <w:p>
      <w:pPr>
        <w:pStyle w:val="Normal"/>
        <w:jc w:val="center"/>
        <w:rPr>
          <w:sz w:val="26"/>
        </w:rPr>
      </w:pPr>
      <w:r>
        <w:rPr>
          <w:sz w:val="26"/>
        </w:rPr>
        <w:t>Раздел I</w:t>
      </w:r>
    </w:p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  <w:t>Введение</w:t>
      </w:r>
    </w:p>
    <w:p>
      <w:pPr>
        <w:pStyle w:val="Normal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Доклад «О состоянии ведомственного контроля за соблюдением трудового законодательства и иных нормативных правовых актов, содержащих нормы трудового права, в Ненецком автономном округе в 2025 году» (далее – Доклад) подготовлен Департаментом труда и социальной защиты населения Ненецкого автономного округа (далее – Департамент) в соответствии со статьей 12.1 закона Ненецкого автономного округа от 06.06.2014 № 40-оз «О порядке и условиях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в ненецком автономном округе»</w:t>
        <w:br/>
        <w:t xml:space="preserve">(далее – Закон). 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Доклад разработан на основании отчетных данных исполнительных органов Ненецкого автономного округа (далее – ИО) об осуществлении и эффективности ведомственного контроля в 2025 году.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В Докладе представлены показатели ведомственного контроля и итоги деятельности по проведению ведомственного контроля в ОИВ в 2025 годах.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Кроме того, Доклад содержит выводы по результатам осуществления ведомственного контроля ИО и приоритетные направления деятельности </w:t>
        <w:br/>
        <w:t>по совершенствованию ведомственного контроля в Ненецком автономном округе.</w:t>
      </w:r>
    </w:p>
    <w:p>
      <w:pPr>
        <w:pStyle w:val="Normal"/>
        <w:ind w:firstLine="851" w:left="0" w:right="0"/>
        <w:jc w:val="both"/>
        <w:rPr>
          <w:sz w:val="26"/>
        </w:rPr>
      </w:pPr>
      <w:r>
        <w:rPr>
          <w:sz w:val="26"/>
        </w:rPr>
        <w:t>Во исполнение части 2 статьи 12.1. Закона от двух ИО в которых в 2025 году были проведены проверки.</w:t>
      </w:r>
    </w:p>
    <w:p>
      <w:pPr>
        <w:pStyle w:val="Normal"/>
        <w:ind w:firstLine="851" w:left="0" w:right="0"/>
        <w:jc w:val="both"/>
        <w:rPr>
          <w:sz w:val="26"/>
        </w:rPr>
      </w:pPr>
      <w:r>
        <w:rPr>
          <w:sz w:val="26"/>
        </w:rPr>
        <w:t>Из представленной информации следует, что утвержденные планы плановых проверок размещаются на следующих официальных сайтах ОИ:</w:t>
      </w:r>
    </w:p>
    <w:p>
      <w:pPr>
        <w:pStyle w:val="Normal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1. Департамент образования, культуры и спорта Ненецкого автономного округа: https://doks.adm– svedeniya/plany-provedeniya-proverok/;</w:t>
      </w:r>
    </w:p>
    <w:p>
      <w:pPr>
        <w:pStyle w:val="Normal"/>
        <w:ind w:firstLine="709" w:left="0" w:right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</w:t>
      </w:r>
      <w:r>
        <w:rPr>
          <w:rFonts w:ascii="XO Thames" w:hAnsi="XO Thames"/>
          <w:spacing w:val="0"/>
          <w:sz w:val="26"/>
        </w:rPr>
        <w:t> </w:t>
      </w:r>
      <w:r>
        <w:rPr>
          <w:rFonts w:ascii="XO Thames" w:hAnsi="XO Thames"/>
          <w:sz w:val="26"/>
        </w:rPr>
        <w:t> Департамент цифрового развития, связи и массовых коммуникаций Ненецкого автономного округа:  https://digital.adm-nao.ru/inaya- informaciya/informaciya-dlya-podvedomstvennyh-organizacij/vedomstvennyj-kontrol-za-soblyudeniem-trudovogo- zakonodatelstva/.</w:t>
      </w:r>
    </w:p>
    <w:p>
      <w:pPr>
        <w:pStyle w:val="Normal"/>
        <w:ind w:firstLine="709" w:left="0" w:right="0"/>
        <w:jc w:val="center"/>
        <w:rPr>
          <w:sz w:val="26"/>
        </w:rPr>
      </w:pPr>
      <w:r>
        <w:rPr>
          <w:sz w:val="26"/>
        </w:rPr>
      </w:r>
    </w:p>
    <w:p>
      <w:pPr>
        <w:pStyle w:val="Normal"/>
        <w:ind w:firstLine="709" w:left="0" w:right="0"/>
        <w:jc w:val="center"/>
        <w:rPr>
          <w:sz w:val="26"/>
        </w:rPr>
      </w:pPr>
      <w:r>
        <w:rPr>
          <w:sz w:val="26"/>
        </w:rPr>
        <w:t>Раздел II</w:t>
      </w:r>
    </w:p>
    <w:p>
      <w:pPr>
        <w:pStyle w:val="Normal"/>
        <w:ind w:firstLine="709" w:left="0" w:right="0"/>
        <w:jc w:val="center"/>
        <w:rPr>
          <w:b/>
          <w:sz w:val="26"/>
        </w:rPr>
      </w:pPr>
      <w:r>
        <w:rPr>
          <w:b/>
          <w:sz w:val="26"/>
        </w:rPr>
        <w:t xml:space="preserve">Показатели ведомственного контроля </w:t>
      </w:r>
    </w:p>
    <w:p>
      <w:pPr>
        <w:pStyle w:val="Normal"/>
        <w:ind w:firstLine="709" w:left="0" w:right="0"/>
        <w:jc w:val="center"/>
        <w:rPr>
          <w:b/>
          <w:sz w:val="26"/>
        </w:rPr>
      </w:pPr>
      <w:r>
        <w:rPr>
          <w:b/>
          <w:sz w:val="26"/>
        </w:rPr>
        <w:t xml:space="preserve">и итоги деятельности по проведению </w:t>
      </w:r>
    </w:p>
    <w:p>
      <w:pPr>
        <w:pStyle w:val="Normal"/>
        <w:ind w:firstLine="709" w:left="0" w:right="0"/>
        <w:jc w:val="center"/>
        <w:rPr>
          <w:b/>
          <w:sz w:val="26"/>
        </w:rPr>
      </w:pPr>
      <w:r>
        <w:rPr>
          <w:b/>
          <w:sz w:val="26"/>
        </w:rPr>
        <w:t xml:space="preserve">ведомственного контроля в органах исполнительной власти </w:t>
      </w:r>
    </w:p>
    <w:p>
      <w:pPr>
        <w:pStyle w:val="Normal"/>
        <w:ind w:firstLine="709" w:left="0" w:right="0"/>
        <w:jc w:val="center"/>
        <w:rPr>
          <w:b/>
          <w:sz w:val="26"/>
        </w:rPr>
      </w:pPr>
      <w:r>
        <w:rPr>
          <w:b/>
          <w:sz w:val="26"/>
        </w:rPr>
        <w:t>Ненецкого автономного округа в 2025 году</w:t>
      </w:r>
    </w:p>
    <w:p>
      <w:pPr>
        <w:pStyle w:val="BodyTextIndent21"/>
        <w:ind w:hanging="0" w:left="0" w:right="0"/>
        <w:jc w:val="center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ind w:firstLine="851" w:left="0" w:right="0"/>
        <w:jc w:val="both"/>
        <w:rPr>
          <w:sz w:val="26"/>
        </w:rPr>
      </w:pPr>
      <w:r>
        <w:rPr>
          <w:sz w:val="26"/>
        </w:rPr>
        <w:t>Во исполнение части 2 статьи 12.1. Закона от двух ИО поступила информация о результатах, проведенных ведомственных проверок в 2025 году.</w:t>
      </w:r>
    </w:p>
    <w:p>
      <w:pPr>
        <w:pStyle w:val="BodyTextIndent21"/>
        <w:tabs>
          <w:tab w:val="clear" w:pos="737"/>
          <w:tab w:val="left" w:pos="703" w:leader="none"/>
        </w:tabs>
        <w:rPr>
          <w:sz w:val="26"/>
        </w:rPr>
      </w:pPr>
      <w:r>
        <w:rPr>
          <w:sz w:val="26"/>
        </w:rPr>
        <w:t xml:space="preserve">В 2025 году в ведении ИО в которых проводились проверки находилось 83 подведомственных организаций. </w:t>
      </w:r>
    </w:p>
    <w:p>
      <w:pPr>
        <w:pStyle w:val="BodyTextIndent21"/>
        <w:tabs>
          <w:tab w:val="clear" w:pos="737"/>
          <w:tab w:val="left" w:pos="703" w:leader="none"/>
        </w:tabs>
        <w:rPr>
          <w:sz w:val="26"/>
        </w:rPr>
      </w:pPr>
      <w:r>
        <w:rPr>
          <w:sz w:val="26"/>
        </w:rPr>
        <w:t>В рамках реализации Закона в 2025 году ОИ проведено 12 проверок соблюдения трудового законодательства, из них 1 проверка внеплановая.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Информация о проведенных проверках и запланированных в 2025 году, приведена в Таблице 1.</w:t>
      </w:r>
    </w:p>
    <w:p>
      <w:pPr>
        <w:pStyle w:val="Normal"/>
        <w:spacing w:lineRule="exact" w:line="400"/>
        <w:jc w:val="right"/>
        <w:rPr>
          <w:sz w:val="24"/>
        </w:rPr>
      </w:pPr>
      <w:r>
        <w:rPr>
          <w:sz w:val="24"/>
        </w:rPr>
        <w:t>Таблица 1</w:t>
      </w:r>
    </w:p>
    <w:p>
      <w:pPr>
        <w:pStyle w:val="BodyTextIndent21"/>
        <w:ind w:hanging="0" w:left="0" w:right="0"/>
        <w:jc w:val="center"/>
        <w:rPr>
          <w:b/>
          <w:sz w:val="24"/>
        </w:rPr>
      </w:pPr>
      <w:r>
        <w:rPr>
          <w:b/>
          <w:sz w:val="24"/>
        </w:rPr>
        <w:t xml:space="preserve">Информация о проведенных проверках и запланированных </w:t>
      </w:r>
    </w:p>
    <w:p>
      <w:pPr>
        <w:pStyle w:val="BodyTextIndent21"/>
        <w:ind w:hanging="0" w:left="0" w:right="0"/>
        <w:jc w:val="center"/>
        <w:rPr>
          <w:b/>
          <w:sz w:val="24"/>
        </w:rPr>
      </w:pPr>
      <w:r>
        <w:rPr>
          <w:b/>
          <w:sz w:val="24"/>
        </w:rPr>
        <w:t>в подведомственных ОИВ Ненецкого автономного округа</w:t>
      </w:r>
    </w:p>
    <w:p>
      <w:pPr>
        <w:pStyle w:val="BodyTextIndent21"/>
        <w:ind w:hanging="0" w:left="0" w:right="0"/>
        <w:jc w:val="center"/>
        <w:rPr>
          <w:i/>
          <w:i/>
          <w:sz w:val="24"/>
        </w:rPr>
      </w:pPr>
      <w:r>
        <w:rPr>
          <w:i/>
          <w:sz w:val="24"/>
        </w:rPr>
      </w:r>
    </w:p>
    <w:tbl>
      <w:tblPr>
        <w:tblStyle w:val="Style_2"/>
        <w:tblW w:w="10286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3"/>
        <w:gridCol w:w="3246"/>
        <w:gridCol w:w="1842"/>
        <w:gridCol w:w="1767"/>
        <w:gridCol w:w="1598"/>
        <w:gridCol w:w="1169"/>
      </w:tblGrid>
      <w:tr>
        <w:trPr>
          <w:tblHeader w:val="true"/>
          <w:trHeight w:val="1500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п/п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Наименование ИО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Количество подведомствен-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ных организаций, ед.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Общее количество запланированных проверок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(по состоянию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на 31.12.2024), ед.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Общее количество проведенных проверок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(по состоянию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на 31.12.2024), ед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  <w:t>Общее количество выявленных нарушений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center"/>
              <w:rPr>
                <w:color w:val="70AD47"/>
                <w:sz w:val="22"/>
              </w:rPr>
            </w:pPr>
            <w:r>
              <w:rPr>
                <w:color w:val="70AD47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4" w:right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  <w:t>Департамент образования, культуры и спорта Ненецкого автономного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  <w:t>79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  <w:t>1</w:t>
            </w: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  <w:t>106</w:t>
            </w:r>
          </w:p>
        </w:tc>
      </w:tr>
      <w:tr>
        <w:trPr>
          <w:trHeight w:val="615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360" w:before="0" w:after="0"/>
              <w:ind w:hanging="0" w:left="0" w:right="0"/>
              <w:jc w:val="center"/>
              <w:rPr>
                <w:color w:val="70AD47"/>
                <w:sz w:val="22"/>
              </w:rPr>
            </w:pPr>
            <w:r>
              <w:rPr>
                <w:color w:val="70AD47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4" w:right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  <w:t>Департамент цифрового развития, связи и массовых коммуникаций Ненецкого автономного округа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</w:pPr>
            <w:r>
              <w:rPr>
                <w:rFonts w:ascii="XO Thames" w:hAnsi="XO Thames"/>
                <w:color w:val="000000"/>
                <w:spacing w:val="0"/>
                <w:kern w:val="0"/>
                <w:sz w:val="24"/>
                <w:szCs w:val="24"/>
              </w:rPr>
              <w:t>1</w:t>
            </w:r>
          </w:p>
        </w:tc>
      </w:tr>
      <w:tr>
        <w:trPr>
          <w:trHeight w:val="20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color w:val="000000"/>
                <w:spacing w:val="0"/>
                <w:kern w:val="0"/>
                <w:sz w:val="22"/>
                <w:szCs w:val="20"/>
              </w:rPr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59" w:right="0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80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</w:t>
            </w: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</w:t>
            </w: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b/>
                <w:sz w:val="22"/>
              </w:rPr>
            </w:pP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1</w:t>
            </w:r>
            <w:r>
              <w:rPr>
                <w:b/>
                <w:color w:val="000000"/>
                <w:spacing w:val="0"/>
                <w:kern w:val="0"/>
                <w:sz w:val="22"/>
                <w:szCs w:val="20"/>
              </w:rPr>
              <w:t>07</w:t>
            </w:r>
          </w:p>
        </w:tc>
      </w:tr>
    </w:tbl>
    <w:p>
      <w:pPr>
        <w:pStyle w:val="BodyTextIndent21"/>
        <w:ind w:hanging="0" w:left="0" w:right="0"/>
        <w:jc w:val="center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tabs>
          <w:tab w:val="clear" w:pos="737"/>
          <w:tab w:val="left" w:pos="57" w:leader="none"/>
        </w:tabs>
        <w:ind w:firstLine="794" w:left="57" w:right="0"/>
        <w:jc w:val="both"/>
        <w:rPr>
          <w:sz w:val="26"/>
        </w:rPr>
      </w:pPr>
      <w:r>
        <w:rPr>
          <w:sz w:val="26"/>
        </w:rPr>
        <w:t>Всем ИО, которые не проводили проверки в 202</w:t>
      </w:r>
      <w:r>
        <w:rPr>
          <w:sz w:val="26"/>
        </w:rPr>
        <w:t>5</w:t>
      </w:r>
      <w:r>
        <w:rPr>
          <w:sz w:val="26"/>
        </w:rPr>
        <w:t xml:space="preserve"> году, необходимо обеспечить проведение проверок соблюдения трудового законодательства в подведомственных организациях в соответствии с установленным Законом трехлетним периодом и в дальнейшем неукоснительно соблюдать требования Закона.</w:t>
      </w:r>
    </w:p>
    <w:p>
      <w:pPr>
        <w:pStyle w:val="Normal"/>
        <w:tabs>
          <w:tab w:val="clear" w:pos="737"/>
          <w:tab w:val="left" w:pos="4678" w:leader="none"/>
        </w:tabs>
        <w:ind w:firstLine="709" w:left="0" w:right="0"/>
        <w:jc w:val="both"/>
        <w:rPr>
          <w:sz w:val="26"/>
        </w:rPr>
      </w:pPr>
      <w:r>
        <w:rPr>
          <w:sz w:val="26"/>
        </w:rPr>
        <w:t>По результатам всех видов проверок, проведенных ИО в рамках ведомственного контроля, оформлено 1</w:t>
      </w:r>
      <w:r>
        <w:rPr>
          <w:sz w:val="26"/>
        </w:rPr>
        <w:t>2</w:t>
      </w:r>
      <w:r>
        <w:rPr>
          <w:sz w:val="26"/>
        </w:rPr>
        <w:t xml:space="preserve"> актов, в которых зафиксировано </w:t>
      </w:r>
      <w:r>
        <w:rPr>
          <w:sz w:val="26"/>
        </w:rPr>
        <w:t>107</w:t>
      </w:r>
      <w:r>
        <w:rPr>
          <w:sz w:val="26"/>
        </w:rPr>
        <w:t xml:space="preserve"> нарушений трудового законодательства и иных нормативных правовых актов, содержащих нормы трудового права (далее – нарушения), из них. 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1. По вопросам организации и ведения кадрового производства выявлено </w:t>
        <w:br/>
      </w:r>
      <w:r>
        <w:rPr>
          <w:sz w:val="26"/>
        </w:rPr>
        <w:t>61</w:t>
      </w:r>
      <w:r>
        <w:rPr>
          <w:color w:val="C9211E"/>
          <w:sz w:val="26"/>
        </w:rPr>
        <w:t xml:space="preserve"> </w:t>
      </w:r>
      <w:r>
        <w:rPr>
          <w:sz w:val="26"/>
        </w:rPr>
        <w:t>нарушени</w:t>
      </w:r>
      <w:r>
        <w:rPr>
          <w:sz w:val="26"/>
        </w:rPr>
        <w:t>е</w:t>
      </w:r>
      <w:r>
        <w:rPr>
          <w:sz w:val="26"/>
        </w:rPr>
        <w:t>, в том числе по: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порядку оформления приема на работу – </w:t>
      </w:r>
      <w:r>
        <w:rPr>
          <w:sz w:val="26"/>
        </w:rPr>
        <w:t>17</w:t>
      </w:r>
      <w:r>
        <w:rPr>
          <w:sz w:val="26"/>
        </w:rPr>
        <w:t>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соблюдению требований по содержанию трудовых договоров </w:t>
      </w:r>
      <w:bookmarkStart w:id="0" w:name="__DdeLink__1250_3718048751"/>
      <w:r>
        <w:rPr>
          <w:sz w:val="26"/>
        </w:rPr>
        <w:t xml:space="preserve">– </w:t>
      </w:r>
      <w:r>
        <w:rPr>
          <w:sz w:val="26"/>
        </w:rPr>
        <w:t>15;</w:t>
      </w:r>
      <w:bookmarkEnd w:id="0"/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соблюдению общих требований по установлению режима работы и учету рабочего времени – 8;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соблюдению требований по предоставлению ежегодного </w:t>
        <w:br/>
        <w:t xml:space="preserve">и дополнительного оплачиваемых отпусков </w:t>
      </w:r>
      <w:bookmarkStart w:id="1" w:name="__DdeLink__1252_3718048751"/>
      <w:r>
        <w:rPr>
          <w:sz w:val="26"/>
        </w:rPr>
        <w:t xml:space="preserve">– </w:t>
      </w:r>
      <w:r>
        <w:rPr>
          <w:sz w:val="26"/>
        </w:rPr>
        <w:t>12</w:t>
      </w:r>
      <w:r>
        <w:rPr>
          <w:sz w:val="26"/>
        </w:rPr>
        <w:t>;</w:t>
      </w:r>
      <w:bookmarkEnd w:id="1"/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соблюдению порядка и условий привлечения к работе за пределами рабочего времени – </w:t>
      </w:r>
      <w:r>
        <w:rPr>
          <w:sz w:val="26"/>
        </w:rPr>
        <w:t>1;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п</w:t>
      </w:r>
      <w:r>
        <w:rPr>
          <w:sz w:val="26"/>
        </w:rPr>
        <w:t>роведение аттестации работников, применению профессиональных стандартов. Профессиональной подготовки (переподготовки), дополнительному профессиональному образованию – 6;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2. По вопросу соблюдения общих требований по установлению и выплате заработной плате – </w:t>
      </w:r>
      <w:r>
        <w:rPr>
          <w:sz w:val="26"/>
        </w:rPr>
        <w:t>6</w:t>
      </w:r>
      <w:r>
        <w:rPr>
          <w:sz w:val="26"/>
        </w:rPr>
        <w:t xml:space="preserve"> нарушени</w:t>
      </w:r>
      <w:r>
        <w:rPr>
          <w:sz w:val="26"/>
        </w:rPr>
        <w:t>й</w:t>
      </w:r>
      <w:r>
        <w:rPr>
          <w:sz w:val="26"/>
        </w:rPr>
        <w:t>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3. По вопросу соблюдения общих требований в сфере охраны труда – 1</w:t>
      </w:r>
      <w:r>
        <w:rPr>
          <w:sz w:val="26"/>
        </w:rPr>
        <w:t>1</w:t>
      </w:r>
      <w:r>
        <w:rPr>
          <w:sz w:val="26"/>
        </w:rPr>
        <w:t>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4. По иным вопросам – </w:t>
      </w:r>
      <w:r>
        <w:rPr>
          <w:sz w:val="26"/>
        </w:rPr>
        <w:t>39</w:t>
      </w:r>
      <w:r>
        <w:rPr>
          <w:sz w:val="26"/>
        </w:rPr>
        <w:t xml:space="preserve"> нарушения, в том числе: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Отсутствие в трудовых договорах обязательных условий, предусмотренных ст. 57 Трудового кодекса Российской Федерации</w:t>
      </w:r>
      <w:r>
        <w:rPr>
          <w:sz w:val="26"/>
        </w:rPr>
        <w:t xml:space="preserve"> – </w:t>
      </w:r>
      <w:r>
        <w:rPr>
          <w:sz w:val="26"/>
        </w:rPr>
        <w:t>38</w:t>
      </w:r>
      <w:r>
        <w:rPr>
          <w:sz w:val="26"/>
        </w:rPr>
        <w:t>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выявлено несоответствие правил внутреннего трудового распорядка учреждения Трудовому кодексу Российской Федерации.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В 202</w:t>
      </w:r>
      <w:r>
        <w:rPr>
          <w:sz w:val="26"/>
        </w:rPr>
        <w:t>5</w:t>
      </w:r>
      <w:r>
        <w:rPr>
          <w:sz w:val="26"/>
        </w:rPr>
        <w:t xml:space="preserve"> году по результатам проверок к дисциплинарной ответственности должностны</w:t>
      </w:r>
      <w:r>
        <w:rPr>
          <w:sz w:val="26"/>
        </w:rPr>
        <w:t>е</w:t>
      </w:r>
      <w:r>
        <w:rPr>
          <w:sz w:val="26"/>
        </w:rPr>
        <w:t xml:space="preserve"> лица организаций, подведомственных ИО </w:t>
      </w:r>
      <w:r>
        <w:rPr>
          <w:sz w:val="26"/>
        </w:rPr>
        <w:t>не привлекались</w:t>
      </w:r>
      <w:r>
        <w:rPr>
          <w:sz w:val="26"/>
        </w:rPr>
        <w:t>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</w:r>
    </w:p>
    <w:p>
      <w:pPr>
        <w:pStyle w:val="BodyTextIndent21"/>
        <w:ind w:hanging="0" w:left="0" w:right="0"/>
        <w:jc w:val="center"/>
        <w:rPr>
          <w:sz w:val="26"/>
        </w:rPr>
      </w:pPr>
      <w:r>
        <w:rPr/>
      </w:r>
    </w:p>
    <w:p>
      <w:pPr>
        <w:pStyle w:val="Normal"/>
        <w:jc w:val="center"/>
        <w:rPr>
          <w:sz w:val="26"/>
        </w:rPr>
      </w:pPr>
      <w:r>
        <w:rPr>
          <w:sz w:val="26"/>
        </w:rPr>
        <w:t>Раздел I</w:t>
      </w:r>
      <w:r>
        <w:rPr>
          <w:sz w:val="26"/>
        </w:rPr>
        <w:t>II</w:t>
      </w:r>
    </w:p>
    <w:p>
      <w:pPr>
        <w:pStyle w:val="Normal"/>
        <w:ind w:firstLine="567" w:left="0" w:right="0"/>
        <w:jc w:val="center"/>
        <w:rPr>
          <w:b/>
          <w:sz w:val="26"/>
        </w:rPr>
      </w:pPr>
      <w:r>
        <w:rPr>
          <w:b/>
          <w:sz w:val="26"/>
        </w:rPr>
        <w:t>Выводы по результатам осуществления ведомственного контроля органами исполнительной власти и органами местного самоуправления Ненецкого автономного округа в 202</w:t>
      </w:r>
      <w:r>
        <w:rPr>
          <w:b/>
          <w:sz w:val="26"/>
        </w:rPr>
        <w:t>5</w:t>
      </w:r>
      <w:r>
        <w:rPr>
          <w:b/>
          <w:sz w:val="26"/>
        </w:rPr>
        <w:t xml:space="preserve"> году</w:t>
      </w:r>
    </w:p>
    <w:p>
      <w:pPr>
        <w:pStyle w:val="Normal"/>
        <w:rPr>
          <w:b/>
          <w:sz w:val="26"/>
        </w:rPr>
      </w:pPr>
      <w:r>
        <w:rPr>
          <w:b/>
          <w:sz w:val="26"/>
        </w:rPr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По результатам анализа нарушений, выявленных в рамках ведомственного контроля в 202</w:t>
      </w:r>
      <w:r>
        <w:rPr>
          <w:sz w:val="26"/>
        </w:rPr>
        <w:t>5</w:t>
      </w:r>
      <w:r>
        <w:rPr>
          <w:sz w:val="26"/>
        </w:rPr>
        <w:t xml:space="preserve"> году, следует выделить характерные нарушения в организациях, подведомственных ОИ: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ведение табеля учета рабочего времени неутвержденной формы и ошибки </w:t>
        <w:br/>
        <w:t>в заполнении табеля учета рабочего времени;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несоответствие наименований должностей в локальных актах организаций </w:t>
        <w:br/>
        <w:t xml:space="preserve">(в том числе в должностных инструкциях, приказах) наименованию должностей, указанных в штатном расписании; 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нарушения при заполнении трудовых книжек 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выявлено превышение продолжительности рабочего времени при работе </w:t>
        <w:br/>
        <w:t>по совместительству;</w:t>
      </w:r>
    </w:p>
    <w:p>
      <w:pPr>
        <w:pStyle w:val="Normal"/>
        <w:tabs>
          <w:tab w:val="clear" w:pos="737"/>
          <w:tab w:val="left" w:pos="1134" w:leader="none"/>
        </w:tabs>
        <w:ind w:firstLine="709" w:left="0" w:right="0"/>
        <w:jc w:val="both"/>
        <w:rPr>
          <w:sz w:val="26"/>
        </w:rPr>
      </w:pPr>
      <w:r>
        <w:rPr>
          <w:sz w:val="26"/>
        </w:rPr>
        <w:t>нарушения при осуществлении удержаний из заработной платы работника;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привлечение к дополнительной работе без согласия работников и привлечение </w:t>
        <w:br/>
        <w:t>к сверхурочной работе с превышением годовой нормы в 120 часов;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в трудовых договорах некоторых работников должность и (или) наименование структурного подразделения не соответствуют утвержденному штатному расписанию;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в трудовых договорах совместителей не указывается режим работы, время начала и окончания работы, продолжительность работы по совместительству;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отсутствуют уведомления работников о времени начала ежегодного оплачиваемого отпуска либо работники извещаются о времени начала отпуска позднее чем за две недели до его начала;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нарушение порядка разделения ежегодного оплачиваемого отпуска на части </w:t>
        <w:br/>
        <w:t>и исчисления стажа, дающего права на предоставление ежегодного оплачиваемого отпуска;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в нарушение пунктов 27-30 Положения о воинском учете не заполнен </w:t>
        <w:br/>
        <w:t>раздел II «Сведения о воинском учете» личной карточки работников (форма № Т-2);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в нарушение пунктов 22,37,39 Методических рекомендаций по ведению воинского учета в организациях отсутствует приказ об организации воинского учета граждан в том числе бронирования граждан, пребывающих в запасе и плана работы </w:t>
        <w:br/>
        <w:t>по ведения воинского учета;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не проведено обучение по охране труда и проверка знаний требований охраны труда руководителя организации и (или) его заместителей, членов комиссий, специалистов и иных работников организаций;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не разработаны и не утверждены программы проведения инструктажей;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отсутствуют программы обучения по охране труда;</w:t>
      </w:r>
    </w:p>
    <w:p>
      <w:pPr>
        <w:pStyle w:val="Normal"/>
        <w:ind w:firstLine="709" w:left="0" w:right="0"/>
        <w:jc w:val="both"/>
        <w:rPr>
          <w:b/>
          <w:sz w:val="26"/>
        </w:rPr>
      </w:pPr>
      <w:r>
        <w:rPr>
          <w:sz w:val="26"/>
        </w:rPr>
        <w:t>не обеспечено создание и функционирование процедуры управления профессиональными рисками, интегрированной в систему управления охраной труда предприятия, и не произведена оценка уровней профессиональных рисков;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спецодежда и другие средства индивидуальной защиты выдаются </w:t>
        <w:br/>
        <w:t>не в соответствии с утвержденными нормами.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отсутствие документов, предусмотренных Федеральным законом от 27.07.2006 № 152-ФЗ «О персональных данных»;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хранение и использование персональных данных.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Анализ материалов проверок позволяет выделить ряд причин возникновения вышеуказанных нарушений:</w:t>
      </w:r>
    </w:p>
    <w:p>
      <w:pPr>
        <w:pStyle w:val="Normal"/>
        <w:tabs>
          <w:tab w:val="clear" w:pos="737"/>
          <w:tab w:val="left" w:pos="1134" w:leader="none"/>
        </w:tabs>
        <w:ind w:firstLine="709" w:left="0" w:right="0"/>
        <w:jc w:val="both"/>
        <w:rPr>
          <w:sz w:val="26"/>
        </w:rPr>
      </w:pPr>
      <w:r>
        <w:rPr>
          <w:sz w:val="26"/>
        </w:rPr>
        <w:t>непринятие работодателем достаточных мер по организации трудового процесса в соответствии с нормами трудового права и низкий уровень контроля со стороны руководителей организаций за соблюдением трудового законодательства;</w:t>
      </w:r>
    </w:p>
    <w:p>
      <w:pPr>
        <w:pStyle w:val="Normal"/>
        <w:tabs>
          <w:tab w:val="clear" w:pos="737"/>
          <w:tab w:val="left" w:pos="1134" w:leader="none"/>
        </w:tabs>
        <w:ind w:firstLine="709" w:left="0" w:right="0"/>
        <w:jc w:val="both"/>
        <w:rPr>
          <w:sz w:val="26"/>
        </w:rPr>
      </w:pPr>
      <w:r>
        <w:rPr>
          <w:sz w:val="26"/>
        </w:rPr>
        <w:t>недостаточный уровень знаний в области трудового законодательства руководителей и специалистов организаций и (или) неверное толкование норм трудового законодательства.</w:t>
      </w:r>
    </w:p>
    <w:p>
      <w:pPr>
        <w:pStyle w:val="Normal"/>
        <w:tabs>
          <w:tab w:val="clear" w:pos="737"/>
          <w:tab w:val="left" w:pos="1134" w:leader="none"/>
        </w:tabs>
        <w:ind w:firstLine="709" w:left="0" w:right="0"/>
        <w:jc w:val="both"/>
        <w:rPr>
          <w:sz w:val="26"/>
        </w:rPr>
      </w:pPr>
      <w:r>
        <w:rPr>
          <w:sz w:val="26"/>
        </w:rPr>
        <w:t>несоответствие локальных актов, принимаемых работодателем, трудовому законодательству;</w:t>
      </w:r>
    </w:p>
    <w:p>
      <w:pPr>
        <w:pStyle w:val="Normal"/>
        <w:tabs>
          <w:tab w:val="clear" w:pos="737"/>
          <w:tab w:val="left" w:pos="1134" w:leader="none"/>
        </w:tabs>
        <w:ind w:firstLine="709" w:left="0" w:right="0"/>
        <w:jc w:val="both"/>
        <w:rPr>
          <w:sz w:val="26"/>
        </w:rPr>
      </w:pPr>
      <w:r>
        <w:rPr>
          <w:sz w:val="26"/>
        </w:rPr>
        <w:t xml:space="preserve">отсутствие стабильности в кадровом составе работников кадровых служб </w:t>
        <w:br/>
        <w:t>и служб охраны труда учреждений, низкий уровень организации работы в области кадрового делопроизводства, трудовых отношений и охраны труда.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Осуществление ведомственного контроля дает возможность ИО и ОМСУ предотвращать нарушения трудовых прав и законных интересов работников подведомственных организаций, восстанавливать нарушенные права работников </w:t>
        <w:br/>
        <w:t xml:space="preserve">и привлекать виновных должностных лиц к ответственности за нарушения. 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 xml:space="preserve">Проведение проверок в подведомственных организациях способствует своевременному приведению локальных нормативных актов организаций </w:t>
        <w:br/>
        <w:t>в соответствие с нормами действующего законодательства.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>
          <w:sz w:val="26"/>
        </w:rPr>
        <w:t>Проверки, проведенные в 202</w:t>
      </w:r>
      <w:r>
        <w:rPr>
          <w:sz w:val="26"/>
        </w:rPr>
        <w:t>5</w:t>
      </w:r>
      <w:r>
        <w:rPr>
          <w:sz w:val="26"/>
        </w:rPr>
        <w:t xml:space="preserve"> году, позволили существенно снизить наступление финансовых рисков для ИО в результате проведения проверок и наложения штрафных санкций за нарушения трудового законодательства со стороны органов государственного надзора и контроля в соответствии со статьями 5.27 и 5.27.1 Кодекса Российской Федерации об административных правонарушениях.</w:t>
      </w:r>
    </w:p>
    <w:p>
      <w:pPr>
        <w:pStyle w:val="Normal"/>
        <w:ind w:firstLine="709" w:left="0" w:right="0"/>
        <w:jc w:val="both"/>
        <w:rPr>
          <w:sz w:val="26"/>
        </w:rPr>
      </w:pPr>
      <w:r>
        <w:rPr/>
      </w:r>
    </w:p>
    <w:p>
      <w:pPr>
        <w:pStyle w:val="Normal"/>
        <w:jc w:val="center"/>
        <w:rPr>
          <w:sz w:val="26"/>
        </w:rPr>
      </w:pPr>
      <w:r>
        <w:rPr>
          <w:sz w:val="26"/>
        </w:rPr>
        <w:t>Раздел V</w:t>
      </w:r>
    </w:p>
    <w:p>
      <w:pPr>
        <w:pStyle w:val="BodyTextIndent21"/>
        <w:ind w:hanging="0" w:left="0" w:right="0"/>
        <w:jc w:val="center"/>
        <w:rPr>
          <w:b/>
          <w:sz w:val="26"/>
        </w:rPr>
      </w:pPr>
      <w:r>
        <w:rPr>
          <w:b/>
          <w:sz w:val="26"/>
        </w:rPr>
        <w:t xml:space="preserve">Приоритетные направления деятельности </w:t>
      </w:r>
    </w:p>
    <w:p>
      <w:pPr>
        <w:pStyle w:val="BodyTextIndent21"/>
        <w:ind w:hanging="0" w:left="0" w:right="0"/>
        <w:jc w:val="center"/>
        <w:rPr>
          <w:b/>
          <w:sz w:val="26"/>
        </w:rPr>
      </w:pPr>
      <w:r>
        <w:rPr>
          <w:b/>
          <w:sz w:val="26"/>
        </w:rPr>
        <w:t>по улучшению ведомственного контроля в Ненецком автономном округе</w:t>
      </w:r>
    </w:p>
    <w:p>
      <w:pPr>
        <w:pStyle w:val="BodyTextIndent21"/>
        <w:spacing w:lineRule="exact" w:line="400"/>
        <w:ind w:hanging="0" w:left="0" w:right="0"/>
        <w:jc w:val="center"/>
        <w:rPr>
          <w:b/>
        </w:rPr>
      </w:pPr>
      <w:r>
        <w:rPr>
          <w:b/>
        </w:rPr>
      </w:r>
    </w:p>
    <w:p>
      <w:pPr>
        <w:pStyle w:val="Normal"/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Для улучшения ситуации в Ненецкого автономного округа осуществления ведомственного контроля Департамент предполагает продолжить оказание необходимой методической и практической помощи ИО по реализации Закона.</w:t>
      </w:r>
    </w:p>
    <w:p>
      <w:pPr>
        <w:pStyle w:val="Normal"/>
        <w:ind w:firstLine="709" w:left="0" w:right="0"/>
        <w:jc w:val="both"/>
        <w:rPr>
          <w:color w:val="000000"/>
          <w:sz w:val="26"/>
          <w:highlight w:val="white"/>
        </w:rPr>
      </w:pPr>
      <w:r>
        <w:rPr>
          <w:color w:val="000000"/>
          <w:sz w:val="26"/>
          <w:highlight w:val="white"/>
        </w:rPr>
        <w:t xml:space="preserve">В целях минимизации нарушений трудового законодательства Департамент рекомендует </w:t>
      </w:r>
      <w:r>
        <w:rPr>
          <w:color w:val="000000"/>
          <w:sz w:val="26"/>
        </w:rPr>
        <w:t>ИО:</w:t>
      </w:r>
    </w:p>
    <w:p>
      <w:pPr>
        <w:pStyle w:val="Normal"/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 xml:space="preserve">1. Обеспечить проведение проверок подведомственных организаций </w:t>
        <w:br/>
        <w:t>не реже одного раза в 3 года.</w:t>
      </w:r>
    </w:p>
    <w:p>
      <w:pPr>
        <w:pStyle w:val="Normal"/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2. Использовать механизм профилактического визита государственного инспектора труда в качестве превентивной меры по предотвращению нарушений трудового законодательства.</w:t>
      </w:r>
    </w:p>
    <w:p>
      <w:pPr>
        <w:pStyle w:val="Normal"/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3. Поводить своевременную актуализацию нормативных документов в соответствие с изменениями трудового законодательства.</w:t>
      </w:r>
    </w:p>
    <w:p>
      <w:pPr>
        <w:pStyle w:val="Normal"/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4. Продолжать своевременное обучение и повышение квалификации руководителей и специалистов подведомственных организаций и их структурных подразделений по вопросам кадрового делопроизводства, трудовых отношений и охраны труда с учетом изменений трудового законодательства.</w:t>
      </w:r>
    </w:p>
    <w:p>
      <w:pPr>
        <w:pStyle w:val="Normal"/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5. Проводить консультационную и методическую работу с руководителями и специалистами подведомственных организаций по вопросам соблюдения требований трудового законодательства.</w:t>
      </w:r>
    </w:p>
    <w:p>
      <w:pPr>
        <w:pStyle w:val="Normal"/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6. Составлять обзоры типичных нарушений, выявляемых в ходе проведения проверок и доводить их до подведомственных организаций.</w:t>
      </w:r>
    </w:p>
    <w:p>
      <w:pPr>
        <w:pStyle w:val="Normal"/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7.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color w:val="000000"/>
          <w:sz w:val="26"/>
        </w:rPr>
        <w:t>Выполнять оценку профессиональных рисков и разрабатывать меры для снижения рисков на каждом рабочем месте.</w:t>
      </w:r>
    </w:p>
    <w:p>
      <w:pPr>
        <w:pStyle w:val="Normal"/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8. Использовать современные цифровые решения для оперативного обмена информацией с подведомственными организациями (группы каналов в мессенджерах и т.д.).</w:t>
      </w:r>
    </w:p>
    <w:p>
      <w:pPr>
        <w:pStyle w:val="Normal"/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  <w:t>9.</w:t>
      </w:r>
      <w:r>
        <w:rPr>
          <w:rFonts w:ascii="XO Thames" w:hAnsi="XO Thames"/>
          <w:color w:val="000000"/>
          <w:spacing w:val="0"/>
          <w:sz w:val="26"/>
        </w:rPr>
        <w:t> </w:t>
      </w:r>
      <w:r>
        <w:rPr>
          <w:color w:val="000000"/>
          <w:sz w:val="26"/>
        </w:rPr>
        <w:t>Поводить обучающие семинары, рабочие встречи, совещания по вопросам соблюдения трудового законодательства.</w:t>
      </w:r>
    </w:p>
    <w:p>
      <w:pPr>
        <w:pStyle w:val="Normal"/>
        <w:ind w:firstLine="709" w:left="0" w:right="0"/>
        <w:jc w:val="both"/>
        <w:rPr>
          <w:color w:val="000000"/>
          <w:sz w:val="26"/>
        </w:rPr>
      </w:pPr>
      <w:r>
        <w:rPr>
          <w:color w:val="000000"/>
          <w:sz w:val="26"/>
        </w:rPr>
      </w:r>
    </w:p>
    <w:sectPr>
      <w:headerReference w:type="default" r:id="rId2"/>
      <w:type w:val="nextPage"/>
      <w:pgSz w:w="11906" w:h="16838"/>
      <w:pgMar w:left="1418" w:right="710" w:gutter="0" w:header="573" w:top="1276" w:footer="0" w:bottom="1134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HelvCondenced">
    <w:charset w:val="01"/>
    <w:family w:val="roman"/>
    <w:pitch w:val="default"/>
  </w:font>
  <w:font w:name="XO Thames">
    <w:charset w:val="01"/>
    <w:family w:val="roman"/>
    <w:pitch w:val="default"/>
  </w:font>
  <w:font w:name="Arial">
    <w:charset w:val="01"/>
    <w:family w:val="roman"/>
    <w:pitch w:val="default"/>
  </w:font>
  <w:font w:name="Calibri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Times New Roman CYR">
    <w:charset w:val="01"/>
    <w:family w:val="roman"/>
    <w:pitch w:val="default"/>
  </w:font>
  <w:font w:name="PT Astra Serif">
    <w:charset w:val="01"/>
    <w:family w:val="roman"/>
    <w:pitch w:val="default"/>
  </w:font>
  <w:font w:name="XO Thames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6</w:t>
    </w:r>
    <w:r>
      <w:rPr>
        <w:sz w:val="24"/>
      </w:rPr>
      <w:fldChar w:fldCharType="end"/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37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before="240" w:after="60"/>
      <w:outlineLvl w:val="0"/>
    </w:pPr>
    <w:rPr>
      <w:rFonts w:ascii="HelvCondenced" w:hAnsi="HelvCondenced"/>
      <w:b/>
      <w:sz w:val="28"/>
    </w:rPr>
  </w:style>
  <w:style w:type="paragraph" w:styleId="Heading2">
    <w:name w:val="Heading 2"/>
    <w:basedOn w:val="Normal"/>
    <w:next w:val="Normal"/>
    <w:uiPriority w:val="9"/>
    <w:qFormat/>
    <w:pPr>
      <w:keepNext w:val="true"/>
      <w:jc w:val="both"/>
      <w:outlineLvl w:val="1"/>
    </w:pPr>
    <w:rPr>
      <w:b/>
      <w:sz w:val="28"/>
    </w:rPr>
  </w:style>
  <w:style w:type="paragraph" w:styleId="Heading3">
    <w:name w:val="Heading 3"/>
    <w:basedOn w:val="Normal"/>
    <w:next w:val="Normal"/>
    <w:uiPriority w:val="9"/>
    <w:qFormat/>
    <w:pPr>
      <w:keepNext w:val="true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uiPriority w:val="9"/>
    <w:qFormat/>
    <w:pPr>
      <w:keepNext w:val="true"/>
      <w:spacing w:lineRule="auto" w:line="360"/>
      <w:ind w:firstLine="720"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qFormat/>
    <w:pPr>
      <w:keepNext w:val="true"/>
      <w:spacing w:lineRule="auto" w:line="360"/>
      <w:ind w:firstLine="567"/>
      <w:jc w:val="center"/>
      <w:outlineLvl w:val="4"/>
    </w:pPr>
    <w:rPr>
      <w:i/>
      <w:sz w:val="24"/>
    </w:rPr>
  </w:style>
  <w:style w:type="paragraph" w:styleId="Heading6">
    <w:name w:val="Heading 6"/>
    <w:basedOn w:val="Normal"/>
    <w:next w:val="Normal"/>
    <w:uiPriority w:val="9"/>
    <w:qFormat/>
    <w:pPr>
      <w:keepNext w:val="true"/>
      <w:tabs>
        <w:tab w:val="clear" w:pos="737"/>
        <w:tab w:val="left" w:pos="1040" w:leader="none"/>
      </w:tabs>
      <w:spacing w:lineRule="auto" w:line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uiPriority w:val="9"/>
    <w:qFormat/>
    <w:pPr>
      <w:keepNext w:val="true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uiPriority w:val="9"/>
    <w:qFormat/>
    <w:pPr>
      <w:keepNext w:val="true"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uiPriority w:val="9"/>
    <w:qFormat/>
    <w:pPr>
      <w:keepNext w:val="true"/>
      <w:spacing w:lineRule="auto" w:line="360"/>
      <w:ind w:left="360"/>
      <w:jc w:val="both"/>
      <w:outlineLvl w:val="8"/>
    </w:pPr>
    <w:rPr>
      <w:b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NormalWeb">
    <w:name w:val="Normal (Web)"/>
    <w:link w:val="NormalWeb1"/>
    <w:qFormat/>
    <w:rPr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21">
    <w:name w:val="Основной текст 21"/>
    <w:link w:val="211"/>
    <w:qFormat/>
    <w:rPr>
      <w:sz w:val="28"/>
    </w:rPr>
  </w:style>
  <w:style w:type="character" w:styleId="Heading71">
    <w:name w:val="Heading 71"/>
    <w:qFormat/>
    <w:rPr>
      <w:b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1">
    <w:name w:val="Название объекта1"/>
    <w:link w:val="11"/>
    <w:qFormat/>
    <w:rPr>
      <w:b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sz w:val="28"/>
    </w:rPr>
  </w:style>
  <w:style w:type="character" w:styleId="ConsTitle">
    <w:name w:val="ConsTitle"/>
    <w:link w:val="ConsTitle1"/>
    <w:qFormat/>
    <w:rPr>
      <w:rFonts w:ascii="Arial" w:hAnsi="Arial"/>
      <w:b/>
      <w:sz w:val="16"/>
    </w:rPr>
  </w:style>
  <w:style w:type="character" w:styleId="BodyText3">
    <w:name w:val="Body Text 3"/>
    <w:link w:val="BodyText31"/>
    <w:qFormat/>
    <w:rPr>
      <w:b/>
      <w:sz w:val="28"/>
    </w:rPr>
  </w:style>
  <w:style w:type="character" w:styleId="ListParagraph">
    <w:name w:val="List Paragraph"/>
    <w:link w:val="ListParagraph1"/>
    <w:qFormat/>
    <w:rPr>
      <w:rFonts w:ascii="Calibri" w:hAnsi="Calibri"/>
      <w:sz w:val="22"/>
    </w:rPr>
  </w:style>
  <w:style w:type="character" w:styleId="Textbodyindent">
    <w:name w:val="Text body indent"/>
    <w:qFormat/>
    <w:rPr>
      <w:sz w:val="28"/>
    </w:rPr>
  </w:style>
  <w:style w:type="character" w:styleId="ConsNormal">
    <w:name w:val="ConsNormal"/>
    <w:link w:val="ConsNormal1"/>
    <w:qFormat/>
    <w:rPr>
      <w:rFonts w:ascii="Arial" w:hAnsi="Arial"/>
      <w:sz w:val="22"/>
    </w:rPr>
  </w:style>
  <w:style w:type="character" w:styleId="Heading91">
    <w:name w:val="Heading 91"/>
    <w:qFormat/>
    <w:rPr>
      <w:b/>
      <w:sz w:val="28"/>
    </w:rPr>
  </w:style>
  <w:style w:type="character" w:styleId="BodyText2">
    <w:name w:val="Body Text 2"/>
    <w:link w:val="BodyText21"/>
    <w:qFormat/>
    <w:rPr>
      <w:i/>
      <w:sz w:val="28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ConsPlusNonformat">
    <w:name w:val="ConsPlusNonformat"/>
    <w:link w:val="ConsPlusNonformat1"/>
    <w:qFormat/>
    <w:rPr>
      <w:rFonts w:ascii="Courier New" w:hAnsi="Courier New"/>
    </w:rPr>
  </w:style>
  <w:style w:type="character" w:styleId="ConsPlusTitle">
    <w:name w:val="ConsPlusTitle"/>
    <w:link w:val="ConsPlusTitle1"/>
    <w:qFormat/>
    <w:rPr>
      <w:b/>
      <w:sz w:val="28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Pagenumber">
    <w:name w:val="page number"/>
    <w:basedOn w:val="DefaultParagraphFont"/>
    <w:link w:val="Pagenumber1"/>
    <w:qFormat/>
    <w:rPr/>
  </w:style>
  <w:style w:type="character" w:styleId="Style5">
    <w:name w:val="Знак Знак Знак Знак Знак Знак Знак Знак Знак"/>
    <w:link w:val="12"/>
    <w:qFormat/>
    <w:rPr>
      <w:rFonts w:ascii="Tahoma" w:hAnsi="Tahoma"/>
    </w:rPr>
  </w:style>
  <w:style w:type="character" w:styleId="BodyTextIndent2">
    <w:name w:val="Body Text Indent 2"/>
    <w:link w:val="BodyTextIndent21"/>
    <w:qFormat/>
    <w:rPr>
      <w:sz w:val="28"/>
    </w:rPr>
  </w:style>
  <w:style w:type="character" w:styleId="Heading51">
    <w:name w:val="Heading 51"/>
    <w:qFormat/>
    <w:rPr>
      <w:i/>
      <w:sz w:val="24"/>
    </w:rPr>
  </w:style>
  <w:style w:type="character" w:styleId="Heading11">
    <w:name w:val="Heading 11"/>
    <w:qFormat/>
    <w:rPr>
      <w:rFonts w:ascii="HelvCondenced" w:hAnsi="HelvCondenced"/>
      <w:b/>
      <w:sz w:val="28"/>
    </w:rPr>
  </w:style>
  <w:style w:type="character" w:styleId="Style6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rFonts w:ascii="Arial" w:hAnsi="Arial"/>
      <w:color w:val="003366"/>
      <w:sz w:val="17"/>
      <w:u w:val="single"/>
    </w:rPr>
  </w:style>
  <w:style w:type="character" w:styleId="Footnote">
    <w:name w:val="Footnote"/>
    <w:link w:val="Footnote1"/>
    <w:qFormat/>
    <w:rPr/>
  </w:style>
  <w:style w:type="character" w:styleId="Heading81">
    <w:name w:val="Heading 81"/>
    <w:qFormat/>
    <w:rPr>
      <w:b/>
      <w:sz w:val="3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Textbody">
    <w:name w:val="Text body"/>
    <w:qFormat/>
    <w:rPr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BodyTextIndent3">
    <w:name w:val="Body Text Indent 3"/>
    <w:link w:val="BodyTextIndent31"/>
    <w:qFormat/>
    <w:rPr>
      <w:rFonts w:ascii="Times New Roman CYR" w:hAnsi="Times New Roman CYR"/>
      <w:sz w:val="28"/>
    </w:rPr>
  </w:style>
  <w:style w:type="character" w:styleId="Normal0">
    <w:name w:val="Normal_0"/>
    <w:link w:val="Normal0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Annotationreference">
    <w:name w:val="annotation reference"/>
    <w:link w:val="Annotationreference1"/>
    <w:qFormat/>
    <w:rPr>
      <w:sz w:val="16"/>
    </w:rPr>
  </w:style>
  <w:style w:type="character" w:styleId="Header1">
    <w:name w:val="Header1"/>
    <w:qFormat/>
    <w:rPr/>
  </w:style>
  <w:style w:type="character" w:styleId="Subtitle1">
    <w:name w:val="Subtitle1"/>
    <w:qFormat/>
    <w:rPr>
      <w:rFonts w:ascii="Arial" w:hAnsi="Arial"/>
      <w:sz w:val="24"/>
    </w:rPr>
  </w:style>
  <w:style w:type="character" w:styleId="DefaultParagraphFont">
    <w:name w:val="Default Paragraph Font"/>
    <w:link w:val="DefaultParagraphFont1"/>
    <w:qFormat/>
    <w:rPr/>
  </w:style>
  <w:style w:type="character" w:styleId="Footer1">
    <w:name w:val="Footer1"/>
    <w:qFormat/>
    <w:rPr/>
  </w:style>
  <w:style w:type="character" w:styleId="Title1">
    <w:name w:val="Title1"/>
    <w:qFormat/>
    <w:rPr>
      <w:sz w:val="28"/>
    </w:rPr>
  </w:style>
  <w:style w:type="character" w:styleId="Heading41">
    <w:name w:val="Heading 41"/>
    <w:qFormat/>
    <w:rPr>
      <w:b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Strong">
    <w:name w:val="Strong"/>
    <w:qFormat/>
    <w:rPr>
      <w:b/>
    </w:rPr>
  </w:style>
  <w:style w:type="character" w:styleId="Heading21">
    <w:name w:val="Heading 21"/>
    <w:qFormat/>
    <w:rPr>
      <w:b/>
      <w:sz w:val="28"/>
    </w:rPr>
  </w:style>
  <w:style w:type="character" w:styleId="ConsPlusCell">
    <w:name w:val="ConsPlusCell"/>
    <w:link w:val="ConsPlusCell1"/>
    <w:qFormat/>
    <w:rPr>
      <w:sz w:val="28"/>
    </w:rPr>
  </w:style>
  <w:style w:type="character" w:styleId="Heading61">
    <w:name w:val="Heading 61"/>
    <w:qFormat/>
    <w:rPr>
      <w:b/>
      <w:sz w:val="36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 w:val="false"/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2">
    <w:name w:val="TOC 2"/>
    <w:next w:val="Normal"/>
    <w:uiPriority w:val="39"/>
    <w:pPr>
      <w:widowControl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Web1">
    <w:name w:val="Normal (Web)1"/>
    <w:basedOn w:val="Normal"/>
    <w:link w:val="NormalWeb"/>
    <w:qFormat/>
    <w:pPr/>
    <w:rPr>
      <w:sz w:val="28"/>
    </w:rPr>
  </w:style>
  <w:style w:type="paragraph" w:styleId="TOC4">
    <w:name w:val="TOC 4"/>
    <w:next w:val="Normal"/>
    <w:uiPriority w:val="39"/>
    <w:pPr>
      <w:widowControl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11">
    <w:name w:val="Основной текст 211"/>
    <w:basedOn w:val="Normal"/>
    <w:link w:val="21"/>
    <w:qFormat/>
    <w:pPr>
      <w:jc w:val="both"/>
    </w:pPr>
    <w:rPr>
      <w:sz w:val="28"/>
    </w:rPr>
  </w:style>
  <w:style w:type="paragraph" w:styleId="TOC6">
    <w:name w:val="TOC 6"/>
    <w:next w:val="Normal"/>
    <w:uiPriority w:val="39"/>
    <w:pPr>
      <w:widowControl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">
    <w:name w:val="Название объекта11"/>
    <w:basedOn w:val="Normal"/>
    <w:link w:val="1"/>
    <w:qFormat/>
    <w:pPr>
      <w:jc w:val="center"/>
    </w:pPr>
    <w:rPr>
      <w:b/>
      <w:sz w:val="28"/>
    </w:rPr>
  </w:style>
  <w:style w:type="paragraph" w:styleId="Endnote1">
    <w:name w:val="Endnote1"/>
    <w:link w:val="Endnote"/>
    <w:qFormat/>
    <w:pPr>
      <w:widowControl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sTitle1">
    <w:name w:val="ConsTitle1"/>
    <w:link w:val="ConsTitl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b/>
      <w:color w:val="000000"/>
      <w:spacing w:val="0"/>
      <w:kern w:val="0"/>
      <w:sz w:val="16"/>
      <w:szCs w:val="20"/>
      <w:lang w:val="ru-RU" w:eastAsia="zh-CN" w:bidi="hi-IN"/>
    </w:rPr>
  </w:style>
  <w:style w:type="paragraph" w:styleId="BodyText31">
    <w:name w:val="Body Text 31"/>
    <w:basedOn w:val="Normal"/>
    <w:link w:val="BodyText3"/>
    <w:qFormat/>
    <w:pPr>
      <w:jc w:val="center"/>
    </w:pPr>
    <w:rPr>
      <w:b/>
      <w:sz w:val="28"/>
    </w:rPr>
  </w:style>
  <w:style w:type="paragraph" w:styleId="ListParagraph1">
    <w:name w:val="List Paragraph1"/>
    <w:basedOn w:val="Normal"/>
    <w:link w:val="ListParagraph"/>
    <w:qFormat/>
    <w:pPr>
      <w:spacing w:lineRule="auto" w:line="276" w:before="0" w:after="200"/>
      <w:ind w:left="720"/>
      <w:contextualSpacing/>
    </w:pPr>
    <w:rPr>
      <w:rFonts w:ascii="Calibri" w:hAnsi="Calibri"/>
      <w:sz w:val="22"/>
    </w:rPr>
  </w:style>
  <w:style w:type="paragraph" w:styleId="BodyTextIndent">
    <w:name w:val="Body Text Indent"/>
    <w:basedOn w:val="Normal"/>
    <w:pPr>
      <w:jc w:val="center"/>
    </w:pPr>
    <w:rPr>
      <w:sz w:val="28"/>
    </w:rPr>
  </w:style>
  <w:style w:type="paragraph" w:styleId="ConsNormal1">
    <w:name w:val="ConsNormal1"/>
    <w:link w:val="ConsNormal"/>
    <w:qFormat/>
    <w:pPr>
      <w:widowControl w:val="false"/>
      <w:bidi w:val="0"/>
      <w:spacing w:lineRule="auto" w:line="240" w:before="0" w:after="0"/>
      <w:ind w:firstLine="720" w:left="0" w:right="19772"/>
      <w:jc w:val="left"/>
    </w:pPr>
    <w:rPr>
      <w:rFonts w:ascii="Arial" w:hAnsi="Arial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BodyText21">
    <w:name w:val="Body Text 21"/>
    <w:basedOn w:val="Normal"/>
    <w:link w:val="BodyText2"/>
    <w:qFormat/>
    <w:pPr>
      <w:jc w:val="center"/>
    </w:pPr>
    <w:rPr>
      <w:i/>
      <w:sz w:val="28"/>
    </w:rPr>
  </w:style>
  <w:style w:type="paragraph" w:styleId="ConsPlusNormal1">
    <w:name w:val="ConsPlusNormal1"/>
    <w:link w:val="ConsPlusNormal"/>
    <w:qFormat/>
    <w:pPr>
      <w:widowControl w:val="false"/>
      <w:bidi w:val="0"/>
      <w:spacing w:lineRule="auto" w:line="240" w:before="0" w:after="0"/>
      <w:ind w:firstLine="72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1"/>
    <w:link w:val="ConsPlusNonformat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Courier New" w:hAnsi="Courier New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Pagenumber1">
    <w:name w:val="page number1"/>
    <w:basedOn w:val="DefaultParagraphFont1"/>
    <w:link w:val="Pagenumber"/>
    <w:qFormat/>
    <w:pPr/>
    <w:rPr/>
  </w:style>
  <w:style w:type="paragraph" w:styleId="12">
    <w:name w:val="Знак Знак Знак Знак Знак Знак Знак Знак Знак1"/>
    <w:basedOn w:val="Normal"/>
    <w:link w:val="Style5"/>
    <w:qFormat/>
    <w:pPr>
      <w:spacing w:beforeAutospacing="1" w:afterAutospacing="1"/>
    </w:pPr>
    <w:rPr>
      <w:rFonts w:ascii="Tahoma" w:hAnsi="Tahoma"/>
    </w:rPr>
  </w:style>
  <w:style w:type="paragraph" w:styleId="BodyTextIndent21">
    <w:name w:val="Body Text Indent 21"/>
    <w:basedOn w:val="Normal"/>
    <w:link w:val="BodyTextIndent2"/>
    <w:qFormat/>
    <w:pPr>
      <w:ind w:firstLine="720"/>
      <w:jc w:val="both"/>
    </w:pPr>
    <w:rPr>
      <w:sz w:val="28"/>
    </w:rPr>
  </w:style>
  <w:style w:type="paragraph" w:styleId="FootnoteSymbol">
    <w:name w:val="Footnote Symbol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vertAlign w:val="superscript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color w:val="003366"/>
      <w:spacing w:val="0"/>
      <w:kern w:val="0"/>
      <w:sz w:val="17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/>
    <w:rPr/>
  </w:style>
  <w:style w:type="paragraph" w:styleId="TOC1">
    <w:name w:val="TOC 1"/>
    <w:next w:val="Normal"/>
    <w:uiPriority w:val="39"/>
    <w:pPr>
      <w:widowControl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9">
    <w:name w:val="Колонтитул"/>
    <w:qFormat/>
    <w:pPr>
      <w:widowControl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Indent31">
    <w:name w:val="Body Text Indent 31"/>
    <w:basedOn w:val="Normal"/>
    <w:link w:val="BodyTextIndent3"/>
    <w:qFormat/>
    <w:pPr>
      <w:ind w:firstLine="567"/>
      <w:jc w:val="both"/>
    </w:pPr>
    <w:rPr>
      <w:rFonts w:ascii="Times New Roman CYR" w:hAnsi="Times New Roman CYR"/>
      <w:sz w:val="28"/>
    </w:rPr>
  </w:style>
  <w:style w:type="paragraph" w:styleId="Normal01">
    <w:name w:val="Normal_01"/>
    <w:link w:val="Normal0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Annotationreference1">
    <w:name w:val="annotation reference1"/>
    <w:link w:val="Annotationreference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16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37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Normal"/>
    <w:uiPriority w:val="11"/>
    <w:qFormat/>
    <w:pPr>
      <w:spacing w:before="0" w:after="60"/>
      <w:jc w:val="center"/>
      <w:outlineLvl w:val="1"/>
    </w:pPr>
    <w:rPr>
      <w:rFonts w:ascii="Arial" w:hAnsi="Arial"/>
      <w:sz w:val="24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37"/>
        <w:tab w:val="center" w:pos="4677" w:leader="none"/>
        <w:tab w:val="right" w:pos="9355" w:leader="none"/>
      </w:tabs>
    </w:pPr>
    <w:rPr/>
  </w:style>
  <w:style w:type="paragraph" w:styleId="Title">
    <w:name w:val="Title"/>
    <w:basedOn w:val="Normal"/>
    <w:uiPriority w:val="10"/>
    <w:qFormat/>
    <w:pPr>
      <w:jc w:val="center"/>
    </w:pPr>
    <w:rPr>
      <w:sz w:val="28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StrongEmphasis">
    <w:name w:val="Strong Emphasis"/>
    <w:qFormat/>
    <w:pPr>
      <w:widowControl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Cell1">
    <w:name w:val="ConsPlusCell1"/>
    <w:link w:val="ConsPlusCell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table" w:styleId="Style_54">
    <w:name w:val="Сетка таблицы8"/>
    <w:basedOn w:val="Style_2"/>
    <w:rPr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55">
    <w:name w:val="Сетка таблицы6"/>
    <w:basedOn w:val="Style_2"/>
    <w:rPr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56">
    <w:name w:val="Сетка таблицы2"/>
    <w:basedOn w:val="Style_2"/>
    <w:rPr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57">
    <w:name w:val="Сетка таблицы9"/>
    <w:basedOn w:val="Style_2"/>
    <w:rPr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58">
    <w:name w:val="Сетка таблицы4"/>
    <w:basedOn w:val="Style_2"/>
    <w:rPr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59">
    <w:name w:val="Сетка таблицы1"/>
    <w:basedOn w:val="Style_2"/>
    <w:rPr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default="1" w:styleId="Style_2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60">
    <w:name w:val="Сетка таблицы5"/>
    <w:basedOn w:val="Style_2"/>
    <w:rPr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61">
    <w:name w:val="Table Grid"/>
    <w:basedOn w:val="Style_2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62">
    <w:name w:val="Сетка таблицы3"/>
    <w:basedOn w:val="Style_2"/>
    <w:rPr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table" w:styleId="Style_63">
    <w:name w:val="Сетка таблицы7"/>
    <w:basedOn w:val="Style_2"/>
    <w:rPr>
      <w:sz w:val="22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LibreOffice/7.6.7.2$Linux_X86_64 LibreOffice_project/60$Build-2</Application>
  <AppVersion>15.0000</AppVersion>
  <Pages>6</Pages>
  <Words>1338</Words>
  <Characters>9841</Characters>
  <CharactersWithSpaces>11110</CharactersWithSpaces>
  <Paragraphs>117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2026-05-08T16:49:02Z</dcterms:modified>
  <cp:revision>2</cp:revision>
  <dc:subject/>
  <dc:title/>
</cp:coreProperties>
</file>