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30"/>
        </w:rPr>
      </w:pP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30"/>
        </w:rPr>
        <w:t>Извещение о проведении предварительного отбора (ПП РФ 615)</w:t>
      </w:r>
    </w:p>
    <w:p>
      <w:pPr>
        <w:pStyle w:val="BodyText"/>
        <w:widowControl/>
        <w:pBdr/>
        <w:bidi w:val="0"/>
        <w:spacing w:before="225" w:after="225"/>
        <w:ind w:hanging="0" w:left="0" w:right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№</w:t>
      </w: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0184200001825000100001</w:t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7065"/>
      </w:tblGrid>
      <w:tr>
        <w:trPr/>
        <w:tc>
          <w:tcPr>
            <w:tcW w:w="3140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065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Общая информация</w:t>
            </w:r>
          </w:p>
        </w:tc>
      </w:tr>
      <w:tr>
        <w:trPr/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закупки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Предварительный отбор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Предмет электронного аукциона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электронной площадки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РТС-тендер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площадки в сети «Интернет»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http://www.rts-tender.ru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Официальный сайт ЕИС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http://www.zakupki.gov.ru</w:t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размещающей организации</w:t>
            </w:r>
          </w:p>
        </w:tc>
      </w:tr>
      <w:tr>
        <w:trPr/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Размещение осуществляет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Орган, уполномоченный на ведение реестра квалифицированных подрядных организаций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организации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Регион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Ненецкий АО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Почтовый адрес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166000, Ненецкий Автономный округ, Нарьян-Мар Город, им А.П. Пырерко Улица, дом 7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почты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naostroy@adm-nao.ru</w:t>
            </w:r>
          </w:p>
        </w:tc>
      </w:tr>
      <w:tr>
        <w:trPr/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Номер контактного телефона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7-81853-21918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Контактное лицо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ТОРШИНА ЯНА ВИКТОРОВНА</w:t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проведении предварительного отбора</w:t>
            </w:r>
          </w:p>
        </w:tc>
      </w:tr>
      <w:tr>
        <w:trPr/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начала срока подачи заявок на участие в предварительном отборе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19.12.2025 00:00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окончания срока подачи заявок на участие в предварительном отборе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14.01.2026 17:00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окончания срока рассмотрения заявок на участие в предварительном отборе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28.01.2026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 составляет три года с даты внесения записи об участнике предварительного отбора в реестр квалифицированных подрядных организаций.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Документация о проведении предварительного отбора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 Документация_ОТС+ПСД_ПО_5 Г_2025</w:t>
            </w:r>
          </w:p>
        </w:tc>
      </w:tr>
      <w:tr>
        <w:trPr/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подписания ЭП печатной формы извещения и документации о проведении предварительного отбора в ЕИС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18.12.2025 16:03</w:t>
            </w:r>
          </w:p>
        </w:tc>
      </w:tr>
    </w:tbl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ahoma">
    <w:altName w:val="Geneva"/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3</Pages>
  <Words>276</Words>
  <Characters>2054</Characters>
  <CharactersWithSpaces>2279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2025-12-18T16:04:20Z</dcterms:created>
  <dc:creator/>
  <dc:description/>
  <dc:language>ru-RU</dc:language>
  <cp:lastModifiedBy/>
  <dcterms:modified xsi:type="dcterms:W3CDTF">2025-12-18T16:05:46Z</dcterms:modified>
  <cp:revision>3</cp:revision>
  <dc:subject/>
  <dc:title>Default</dc:title>
</cp:coreProperties>
</file>