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УТВЕРЖДАЮ: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Департамента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строительства, жилищно-коммунального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хозяйства, энергетики и транспорта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Ненецкого автономного округа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_______________А.Ю. Фролов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«___» _____________ 2025 года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Документация о проведении предварительного отбора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на право включения в реестр квалифицированных подрядных организаций,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 </w:t>
      </w:r>
    </w:p>
    <w:p>
      <w:pPr>
        <w:pStyle w:val="Normal"/>
        <w:spacing w:before="0" w:after="0"/>
        <w:ind w:hanging="0" w:left="0" w:right="0"/>
        <w:jc w:val="center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№ </w:t>
      </w:r>
      <w:r>
        <w:rPr>
          <w:rFonts w:ascii="Times New Roman" w:hAnsi="Times New Roman"/>
          <w:b/>
          <w:color w:val="000000"/>
          <w:sz w:val="24"/>
          <w:highlight w:val="white"/>
        </w:rPr>
        <w:t>ПО-5Г/2025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г. Нарьян-Мар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2025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Информационная карта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предварительного отбора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 </w:t>
      </w:r>
    </w:p>
    <w:tbl>
      <w:tblPr>
        <w:tblW w:w="1020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9"/>
        <w:gridCol w:w="3655"/>
        <w:gridCol w:w="5981"/>
      </w:tblGrid>
      <w:tr>
        <w:trPr/>
        <w:tc>
          <w:tcPr>
            <w:tcW w:w="5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3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Содержание</w:t>
            </w:r>
          </w:p>
        </w:tc>
      </w:tr>
      <w:tr>
        <w:trPr>
          <w:trHeight w:val="321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9636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органе по ведению реестра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строительства, жилищно-коммунального хозяйства, энергетики и транспорта Ненецкого автономного округа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нахождения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166000, Российская Федерация, Ненецкий АО,</w:t>
              <w:br/>
              <w:t>г. Нарьян-Мар, ул. им. А.П. Пырерко, д. 7, ОКАТО: 11111000000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Почтовый адрес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166000, Российская Федерация, Ненецкий АО,</w:t>
              <w:br/>
              <w:t>г. Нарьян-Мар, ул. им. А.П. Пырерко, д. 7, ОКАТО: 11111000000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ИНН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2983003288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1.5.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электронной почты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naostroy@adm-nao.ru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телефона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+7(81853)21918</w:t>
            </w:r>
          </w:p>
        </w:tc>
      </w:tr>
      <w:tr>
        <w:trPr>
          <w:trHeight w:val="104" w:hRule="atLeast"/>
        </w:trPr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Ф.И.О. контактного лица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Торшина Яна Викторовна 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Предмет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</w:t>
              <w:br/>
              <w:t>по оценке технического состояния многоквартирного дома, разработке проектной документации</w:t>
              <w:br/>
              <w:t>на проведение капитального ремонта общего имущества многоквартирных домов, многоквартирных домов, являющихся объектами культурного наследия,</w:t>
              <w:br/>
              <w:t>в случаях, предусмотренных пунктом 5 статьи 56.1 Федерального закона «Об объектах культурного наследия (памятниках истории и культуры) народов Российской Федерации»,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период действия результатов предварительного отбора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три года с даты внесения записи об участнике предварительного отбора в реестр квалифицированных подрядных организаций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color w:val="auto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ПО-5Г/2025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Официальный сайт, на котором размещена документация о проведении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http://gkh.adm-nao.ru/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Адрес сайта оператора электронной площадки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http://www.rts-tender.ru/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Форма и порядок предоставления участникам предварительного отбора разъяснений положений документации о проведении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Любое заинтересованное лицо в соответствии</w:t>
              <w:br/>
              <w:t>с регламентом работы электронной площадки вправе направить в орган по ведению реестра в виде электронного документа через оператора электронной площадки запрос о разъяснении документации</w:t>
              <w:br/>
              <w:t>о проведении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если указанный запрос поступил в орган по ведению реестра не позднее чем за 5 рабочих дней до предельной даты окончания подачи заявок</w:t>
              <w:br/>
              <w:t>на участие в предварительном отборе, орган</w:t>
              <w:br/>
              <w:t>по ведению реестра в течение 3 рабочих дней со дня поступления запроса обязан опубликовать</w:t>
              <w:br/>
              <w:t>на официальном сайте и сайте оператора электронной площадки разъяснения документации о проведении предварительного отбора без указания лица,</w:t>
              <w:br/>
              <w:t>от которого поступил запрос. Указанные запросы, поступившие позднее чем за 5 рабочих дней до даты окончания срока подачи заявок на участие</w:t>
              <w:br/>
              <w:t>в предварительном отборе, не принимаются оператором электронной площадки. Разъяснение указанной документации по предварительному отбору не должно изменять ее суть.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 начала срока подачи заявок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19.12.2025 00:00 (по московскому времени)</w:t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и время окончания срока подачи заявок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14.01.2026 17:00 (по московскому времени)</w:t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окончания срока подачи запроса о разъяснении положений документации о проведении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25.12.2025 17:30 (по московскому времени)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окончания срока предоставления разъяснений положений документации о проведении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30.12.2025 17:30 (по московскому времени)</w:t>
            </w:r>
          </w:p>
          <w:p>
            <w:pPr>
              <w:pStyle w:val="Norma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  <w:p>
            <w:pPr>
              <w:pStyle w:val="Normal"/>
              <w:widowControl/>
              <w:spacing w:before="0" w:after="20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отзыва заявок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hanging="0" w:left="113" w:right="57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Заявка на участие в предварительном отборе может быть отозвана, изменена в любое время начиная с даты ее подачи участником предварительного отбора до 14.01.2026 17:00 (по московскому времени)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отзыва, изменения заявок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может быть отозвана до даты и времени окончания подачи заявок.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Уведомление об отзыве заявки на участие</w:t>
              <w:br/>
              <w:t>в предварительном отборе должно быть подписано усиленной неквалифицированной электронной подписью. Внесение изменений в заявку на участие</w:t>
              <w:br/>
              <w:t>в предварительном отборе осуществляется через сайт оператора электронной площадки в соответствии</w:t>
              <w:br/>
              <w:t>с регламентом работы электронной площадки.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Изменения, которые вносятся в заявку на участие</w:t>
              <w:br/>
              <w:t>в предварительном отборе, должны быть подписаны усиленной неквалифицированной электронной подписью.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окончания срока рассмотрения заявок на участие</w:t>
            </w:r>
          </w:p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28.01.2026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отказа от проведения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Департамент строительства, жилищно-коммунального хозяйства, энергетики и транспорта Ненецкого автономного округа вправе отказаться</w:t>
              <w:br/>
              <w:t>от проведения предварительного отбора не позднее чем за 3 рабочих дня до дня окончания срока подачи заявок на участие в предварительном отборе.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Извещение об отказе от проведения предварительного отбора размещается в течение одного рабочего дня со дня принятия решения о таком отказе на официальном сайте Департамента и сайте оператора электронной площадки.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рассмотрения заявок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Комиссия по проведению предварительного отбора рассматривает заявки на участие в предварительном отборе на их соответствие требованиям, установленным настоящей документацией</w:t>
              <w:br/>
              <w:t>о проведении предварительного отбора, в том числе</w:t>
              <w:br/>
              <w:t>на соответствие участников предварительного отбора требованиям, установленным пунктом 23 Положения</w:t>
              <w:br/>
              <w:t>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</w:t>
              <w:br/>
              <w:t>в многоквартирных домах, подрядных организаций</w:t>
              <w:br/>
              <w:t>для оказания услуг и (или) выполнения работ</w:t>
              <w:br/>
              <w:t>по капитальному ремонту общего имущества</w:t>
              <w:br/>
              <w:t>в многоквартирном доме, утвержденного Постановлением Правительства Российской Федерации от 1 июля 2016 года № 615 (далее по тексту – Положение), а также принимает решение</w:t>
              <w:br/>
              <w:t>о включении или об отказе во включении участников предварительного отбора в реестр квалифицированных подрядных организаций.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период рассмотрения заявок на участие</w:t>
              <w:br/>
              <w:t>в предварительном отборе комиссия по проведению предварительного отбора: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осуществляет проверку заявок на участие</w:t>
              <w:br/>
              <w:t>в предварительном отборе на соответствие установленным требованиям;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проводит проверку заявок на участие</w:t>
              <w:br/>
              <w:t>в предварительном отборе и входящих в ее состав документов на предмет объективности, достоверности, отсутствия противоречий, в том числе проводит такие проверки в срок, не превышающий 14 календарных дней, по заявлениям физических и (или) юридических лиц, поступившим в ее адрес или в адрес органа</w:t>
              <w:br/>
              <w:t>по ведению реестра, о недостоверности информации, представленной участником предварительного отбора;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принимает решения по результатам проводимых проверок в случае, если они проводятся в связи</w:t>
              <w:br/>
              <w:t>с поступившими заявлениями, указанными</w:t>
              <w:br/>
              <w:t>в подпункте «б» пункта 51 Положения. При этом такое решение должно быть принято комиссией</w:t>
              <w:br/>
              <w:t>по проведению предварительного отбора до заседания, на котором будет рассматриваться вопрос о включении (об отказе во включении) участника предварительного отбора в реестр квалифицированных подрядных организаций.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основании результатов рассмотрения заявок на участие в предварительном отборе комиссия по проведению предварительного отбора принимает одно из следующих решений: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включение участника предварительного отбора в реестр квалифицированных подрядных организаций;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отказ во включении участника предварительного отбора в реестр квалифицированных подрядных организаций, в случаях, указанных в пункте 53 Положения.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Решение об отказе во включении участника предварительного отбора в реестр квалифицированных подрядных организаций принимается в следующих случаях: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несоответствие участника требованиям, установленным пунктом 23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заявка на участие в предварительном отборе не соответствует требованиям, установленным пунктом 38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установление факта представления участником предварительного отбора недостоверной информации (сведений, документов) в составе заявки на участие в предварительном отборе.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установления факта подачи одним участником предварительного отбора 2 и более заявок на участие в предварительном отборе при условии, что поданные ранее заявки на участие в предварительном отборе таким участником не отозваны, все заявки на участие в предварительном отборе такого участника не рассматриваются.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Результаты рассмотрения заявок на участие в предварительном отборе и решение вопросов, указанных в пунктах 51 и 52 Положения, оформляются протоколом комиссии по проведению предварительного отбора, который подписывается всеми членами комиссии, участвующими в заседании. Протокол оформляется и размещается органом по ведению реестра на официальном сайте и сайте оператора электронной площадки в течение 2 рабочих дней со дня его подписания.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протоколе указывается информация о месте, дате и времени рассмотрения заявок на участие в предварительном отборе, номер предварительного отбора, наименование (для юридического лица), адрес электронной площадки в сети «Интернет», на которой проводится предварительный отбор,  фамилия, имя, отчество (при наличии) (для физического лица, зарегистрированного в качестве индивидуального предпринимателя), адрес юридического лица и электронный адрес, идентификационный номер налогоплательщика каждого участника предварительного отбора, наличие информации и документов, предусмотренных документацией о проведении предварительного отбора, состав членов комиссии, участвующих в рассмотрении заявок, принятые решения.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принятии комиссией по предварительному отбору решения об отказе во включении участника предварительного отбора в реестр квалифицированных подрядных организаций в протоколе указывается обоснование такого решения со ссылками на нормы Положения, которым не соответствует участник предварительного отбора, на положения 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принятии комиссией по проведению предварительного отбора решения о включении участника предварительного отбора  в реестр квалифицированных подрядных организаций в протоколе указывается  предельный размер обязательств участника предварительного отбора по договорам строительного подряда, заключаемым с использованием конкурентных способов заключения договоров, в соответствии с которым такой участник предварительного отбора,  как член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РФ.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 по ведению реестра осуществляет аудио- и (или) видеозаписи всех заседаний комиссии по проведению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Любой участник предварительного отбора и (или) его представитель вправе участвовать в заседаниях комиссии и осуществлять аудио- и (или) видеозаписи заседания комиссии.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участникам предварительного отбора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 проведении предварительного отбора установлены следующие требования к участникам предварительного отбора: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а) членство в саморегулируемой организации в области архитектурно-строительного проектирования. При этом указанное требование не применяется к участникам предварительного отбора, являющимся лицами, указанными в пункте 1 части 2.2 статьи 52 Градостроительного кодекса Российской Федерации 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б) отсутствие у участника предварительного отбора задолженности по уплате налогов, сборов и иных обязательных платежей в бюджеты бюджетной системы Российской Федерации за прошедший календарный год, за исключением случаев, установленных пунктом 27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е) отсутствие у участника предварительного отбора за 3 года, предшествующие дате окончания срока подачи заявок на участие в предварительном отборе, контракта 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 группе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 или договора;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ж) отсутствие процедуры проведения ликвидации в отношении участника предварительного отбора или отсутствие решения арбитражного суда о признании участника предварительного отбора банкротом и об открытии конкурсного производства;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з) неприостановление деятельности участника предварительного отбора в порядке, предусмотренном Кодексом Российской Федерации об административных правонарушениях, на дату проведения предварительного отбора;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и) отсутствие конфликта интересов;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к) неприменение в отношении участника предварительного отбора - физического лица либо руководителя, членов коллегиального исполнительного органа или главного бухгалтера юридического лица - участника предварительного отбора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л) отсутствие сведений об участнике предварительного отбора в реестре недобросовестных поставщиков (подрядчиков, исполнителей),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м) отсутствие сведений об участнике предварительного отбора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VII Положения;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н) невозможность для участника предварительного отбора являться юридическим лицом, местом регистрации которого является государство или территория, включенные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в отношении юридических лиц;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о) наличие в штате участника предварительного отбора 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 не менее установленного пунктом 2 части 6 статьи 55.5 Градостроительного кодекса Российской Федерации;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п) наличие у участника предварительного отбора за 3 года, предшествующие дате окончания срока подачи заявок на участие в предварительном отборе, опыта оказания услуг и (или) выполнения работ, аналогичных предмету проводимого предварительного отбора, не менее чем по 3 исполненным контрактам и (или) договорам, предметом которых являлись разработка проектной документации, в том числе по договорам, заключенным в соответствии с настоящим Положением.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размер стоимости оказанных услуг и (или) выполненных работ по указанным исполненным контрактам и (или) договорам указан в Приложении</w:t>
              <w:br/>
              <w:t>№ 1 к настоящей документации о проведении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Размер стоимости оказанных услуг и (или) выполненных работ по всем исполненным контрактам и (или) договорам, представленным участником предварительного отбора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содержанию, форме и составу заявки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должна быть подписана усиленной неквалифицированной электронной подписью.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должна содержать: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Следующие сведения и документы об участнике предварительного отбора, подавшем заявку: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полное наименование, сведения об организационно-правовой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предварительного отбора, - для юридического лица;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 фамилия, имя, отчество, паспортные данные, сведения о месте жительства, номер контактного телефона - для физического лица, зарегистрированного в качестве индивидуального предпринимателя;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выписка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заявки на участие в предварительном отборе, - для юридического лица;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выписка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 на участие в предварительном отборе, - для физического лица, зарегистрированного в качестве индивидуального предпринимателя;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5) копии учредительных документов участника предварительного отбора - для юридического лица;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6) копия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иностранного государства, полученная не ранее чем за 6 месяцев до дня подачи заявки на участие в предварительном отборе, - для иностранных лиц;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7) документ, подтверждающий полномочия лица на осуществление действий от имени участника предварительного отбора;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Следующие документы, подтверждающие соответствие участника предварительного отбора требованиям, установленным пунктом 23 Положения: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 копия справки налогового органа об отсутствии 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подается заявка;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2)копия расчета по страховым взносам, представляемого плательщиками страховых взносов, составленного за последний отчетный период, предшествующий дате подачи заявки на участие в предварительном отборе, по форме, утвержденной уполномоченным органом, с отметкой уполномоченного органа о приеме или с приложением копии документов, подтверждающих прием уполномоченным органом такого расчета в форме электронного документа, копия штатного расписания, штатно-списочный состав сотрудников, копии трудовых книжек и (или) сведения о трудовой деятельности, предусмотренные статьей 66.1 Трудового кодекса Российской Федерации, копии дипломов, сертификатов, аттестатов и удостоверений, подтверждающих наличие у участника предварительного отбора в штате минимального количества квалифицированного персонала  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 копии не менее 3 исполненных контрактов и (или) договоров, подтверждающих наличие у участника предварительного отбора, предусмотренного подпунктом "п" пункта 23 Положения, опыта оказания услуг и (или) выполнения работ, аналогичных предмету настоящего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объеме;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 согласие на обработку персональных данных в соответствии с Федеральным законом «О персональных данных» каждого работника, персональные данные которого содержатся в заявке на участие в предварительном отборе.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Порядок подачи заявок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Для участия в предварительном отборе участник подает заявку на участие в предварительном отборе в срок и по форме, которые установлены настоящей документацией о проведении предварительного отбора.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отборе, а также все сведения и документы, которые входят в ее состав в соответствии с настоящим Положением, подаются через оператора электронной площадки в виде электронного документа. Заявка на участие в предварительном отборе должна быть подписана усиленной квалифицированной электронной подписью. Ключи усиленных квалифицированных электронных подписей, предназначенные для использования в целях настоящего раздела, должны быть созданы и выданы удостоверяющими центрами, получившими аккредитацию на соответствие требованиям Федерального закона «Об электронной подписи».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рамках одного предмета предварительного отбора участник предварительного отбора вправе подать только одну заявку на участие в предварительном отборе, пока она не рассмотрена в порядке, предусмотренном Положением, и по ней не принято решение об отказе во включении участника предварительного отбора в реестр квалифицированных подрядных организаций.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Каждая заявка на участие в предварительном отборе, поступившая в срок, указанный в извещениио проведении предварительного отбора и настоящей   документации о проведении предварительного отбора, регистрируется оператором электронной площадки с присвоением порядкового номера.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Участник предварительного отбора, подавший заявку на участие в предварительном отборе, вправе изменить или отозвать заявку на участие в предварительном отборе с соблюдением требований, установленных Положением.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заявку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 на участие в предварительном отборе, должны быть подписаны усиленной квалифицированной электронной подписью.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Заявка на участие в предварительном отборе может быть отозвана до даты и времени окончания срока подачи заявок. Отзыв заявки на участие в предварительном отборе осуществляется через сайт оператора электронной площадки в соответствии с регламентом работы электронной площадки. Уведомление об отзыве заявки на участие в предварительном отборе должно быть подписано усиленной квалифицированной электронной подписью.</w:t>
            </w:r>
          </w:p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Заявки на участие в предварительном отборе, поданные после даты и времени окончания приема заявок и до проведения рассмотрения заявок не принимаются оператором электронной площадки.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размер стоимости ранее выполненных работ по контрактам и (или) договорам, предоставляемым в составе заявки на участие в предварительном отборе, рублей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 в Приложении № 1 «Минимальный размер стоимости оказанных услуг и (или) выполненных работ»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Минимальное количество квалифицированного персонала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в штате участника предварительного отбора работников, соответствующих установленным пунктом 1 части 6 статьи 55.5 Градостроительного кодекса Российской Федерации квалифицированным требованиям, в количестве не ниже установленного пунктом 2 части 6 статьи 55.5 Градостроительного кодекса Российской Федерации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оказанию услуг и (или) выполнению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Установлены в Приложении № 2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 существенных условиях договора об оказании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Установлены в Приложении № 3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Ориентировочные адресные перечни многоквартирных домов, в которых в дальнейшем будет проводиться электронный аукцион на 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(замену) лифтового оборудования, либо указание на сайт в сети «Интернет», где размещены указанные адресные перечни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http://gkh.adm-nao.ru/zhilishno-kommunalnoe-hozyajsvto/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Рекомендуемая форма заявки на участие в предварительном отборе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Установлена в Приложении № 4 к настоящей документации о проведении предварительного отбора</w:t>
            </w:r>
          </w:p>
        </w:tc>
      </w:tr>
      <w:tr>
        <w:trPr/>
        <w:tc>
          <w:tcPr>
            <w:tcW w:w="56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26.</w:t>
            </w:r>
          </w:p>
        </w:tc>
        <w:tc>
          <w:tcPr>
            <w:tcW w:w="3655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Рекомендуемая форма Штатно-списочного состава сотрудников</w:t>
            </w:r>
          </w:p>
        </w:tc>
        <w:tc>
          <w:tcPr>
            <w:tcW w:w="59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pacing w:lineRule="auto" w:line="240"/>
              <w:ind w:firstLine="340" w:left="57"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Установлена в Приложении № 5 к настоящей документации о проведении предварительного отбора</w:t>
            </w:r>
          </w:p>
        </w:tc>
      </w:tr>
    </w:tbl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XO Thames" w:hAnsi="XO Thames"/>
          <w:b/>
          <w:sz w:val="24"/>
        </w:rPr>
      </w:pPr>
      <w:r>
        <w:rPr>
          <w:rFonts w:ascii="XO Thames" w:hAnsi="XO Thames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Приложение № 1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Минимальный размер стоимости оказанных услуг и (или) выполненных работ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tbl>
      <w:tblPr>
        <w:tblW w:w="1020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29"/>
        <w:gridCol w:w="5325"/>
        <w:gridCol w:w="4151"/>
      </w:tblGrid>
      <w:tr>
        <w:trPr/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5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 подряда на подготовку проектной документации, в соответствии с которым указанным участником предварительного отбора, являющимся членом саморегулируемой организации, основанной на членстве лиц, выполняющих инженерные изыскания, или саморегулируемой организации, основанной на членстве лиц, осуществляющих подготовку проектной документации,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Федерации, рублей</w:t>
            </w:r>
          </w:p>
        </w:tc>
        <w:tc>
          <w:tcPr>
            <w:tcW w:w="4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Минимальный размер стоимости ранее выполненных работ по контрактам, рублей*</w:t>
            </w:r>
          </w:p>
        </w:tc>
      </w:tr>
      <w:tr>
        <w:trPr/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превышает 25 000 000 (первый уровень ответственности члена саморегулируемой организации)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8 %, что составляет 2 000 000</w:t>
            </w:r>
          </w:p>
        </w:tc>
      </w:tr>
      <w:tr>
        <w:trPr/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превышает 50 000 000 (второй уровень ответственности члена саморегулируемой организации)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8 %, что составляет 4 000 000</w:t>
            </w:r>
          </w:p>
        </w:tc>
      </w:tr>
      <w:tr>
        <w:trPr/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 превышает 300 000 000 (третий уровень ответственности члена саморегулируемой организации)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5 %, что составляет 15 000 000</w:t>
            </w:r>
          </w:p>
        </w:tc>
      </w:tr>
      <w:tr>
        <w:trPr/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532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283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Составляет 300 000 000 и более (четвертый уровень ответственности члена саморегулируемой организации)</w:t>
            </w:r>
          </w:p>
        </w:tc>
        <w:tc>
          <w:tcPr>
            <w:tcW w:w="41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/>
              <w:ind w:firstLine="170" w:left="0" w:right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%, что составляет 18 000 000</w:t>
            </w:r>
          </w:p>
        </w:tc>
      </w:tr>
    </w:tbl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* 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 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Приложение № 2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spacing w:lineRule="auto" w:line="240"/>
        <w:ind w:hanging="0" w:left="0" w:right="0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Требования к оказанию услуг и (или) выполнение работ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оценке технического состояния многоквартирного дома,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разработке проектной документации 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 Разработка проектной документации по проектированию капитального</w:t>
        <w:br/>
        <w:t>ремонта общего имущества многоквартирных домов</w:t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center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1. Капитальный ремонт жилых многоквартирных домов осуществляется в две стадии, проектная и рабочая документация.</w:t>
      </w:r>
    </w:p>
    <w:p>
      <w:pPr>
        <w:pStyle w:val="BodyTextFirstIndent"/>
        <w:widowControl/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2. Разделы документации, передаваемые Заказчику: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2.1. Проектная документация, выполненная в соответствии с ГОСТ Р 21.101-2020 «Система проектной документации для строительства. Основные требования к проектной и рабочей документации», Сводами правил, ВСН 58-88 (р) «Положение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назначения», а также иными действующими нормативными правовыми и правовыми актами РФ, в том числе техническое заключение о состоянии несущих конструкций и инженерных систем здания, сметная документация;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 Исходная данные, передаваемые Заказчиком: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3.1. Технический паспорт.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3.2. План БТИ.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3.3. Экспликация помещений.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3.4. Акты разграничений ресурсно-снабжающих организаций.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Генеральный проектировщик при разработке документации самостоятельно осуществляет сбор дополнительных исходных данных, необходимых для выполнения проектных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 Особые условия выполнения работ: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4.1. Здание эксплуатируемое.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4.2. Снос существующих зданий, сооружений не требуется.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4.3. Существующие конструктивная схема здания не подлежит изменению.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 Требования по согласованию документации и технического заключения о состоянии несущих конструкций и инженерных систем здания: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5.1. Генеральный проектировщик работ проводит инженерное обследование несущих конструкций и инженерных систем здания в соответствии с СП 13-102-2003 «Правила обследования несущих строительных конструкций зданий и сооружений»,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На основании проведенных обследований формируется и выпускается техническое заключение о состоянии несущих конструкций и инженерных систем здания. Техническое заключение.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Генеральный проектировщик согласовывает с лицом, осуществляющим управление многоквартирным домом.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5.2. Генеральный проектировщик согласовывает документацию с: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Фондом капитального ремонта многоквартирных домов;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лицом, осуществляющим управление многоквартирным домом;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ресурсоснабжающими организациями, организациями – балансодержателями наружных инженерных сетей.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5.3. Генеральный проектировщик обязан: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осуществлять сопровождение проведения Экспертизы;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устранить все замечания Заказчика и Экспертизы;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обеспечить получение положительного заключения экспертизы на проект и достоверность определения сметной стоимости капитального ремонта экспертизы.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5.4. Согласования, устранение замечаний, проведение повторной экспертизы производятся и оплачиваются Генеральным проектировщиком самостоятельно, в объеме, необходимом для получения положительного заключения Экспертизы.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 Основные требования к работам по инженерному обследованию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6.1. Генеральный проектировщик работ проводит инженерное обследование несущих конструкций и инженерных систем здания в соответствии с СП 13-102-2003 «Правила обследование несущих конструкций зданий и сооружений», ГОСТ 31937-2024 «Здания и сооружения. Правила обследования и мониторинга технического состояния». Техническое обследование состояния несущих конструкций и инженерных систем проводится в три этапа: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подготовка к проведению обследования;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предварительное (визуальное) обследование;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детальное (инструментальное) обследование поврежденных элементов.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6.2. На основании проведенных обследований формируется и выпускается техническое заключение о состоянии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 Генеральный проектировщик производит обследование следующих конструкций и инженерных систем (при их наличии):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 Крыша – кровля, свесы, стропильная система, чердак, покрытие (перекрытие), прочие элементы.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6.3.2 Водоотвод.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6.3.3 Фасад – состояние фасада, межпанельные стыки, отделка цоколя, состояние оконных заполнений.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6.3.4 Балконы, лоджии, эркеры, козырьки над входами.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6.3.5 Несущие стены, ограждающие конструкции (в том числе определение теплофизических свойств – теплотехнический расчет по существующим конструкциям).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6.3.6 Подвал, техническое подполье, технический этаж, входы в подвал, приямки.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6.3.7 Вестибюли, крыльца, пандусы, съезды, сходы.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6.3.8 Лестницы.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6.3.9 Межэтажные перекрытия.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6.3.10 Система отопления и вентиляции.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6.3.11 Система холодного водоснабжения (в том числе пожарный водопровод).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6.3.12 Система горячего водоснабжения.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6.3.13 Система канализации.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6.3.14 Мусоропровод.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6.3.15 Система газоснабжения.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6.3.16 Система электроснабжения.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6.3.17 Система дымоудаления.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6.4. При выявлении признаков аварийности или ограниченной работоспособности отдельных конструкций Генеральный проектировщик производит приборное определение фактических прочностных характеристик материалов конструкций, выполняет поверочные расчеты несущей способности конструкции.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При выявлении признаков аварийности или ограниченной работоспособности здания в целом Генеральный проектировщик производит приборное определение фактических прочностных характеристик материалов конструкций, характеристики грунтов основания, грунты, входящие в активную зону, выполняет поверочные расчеты несущей способности конструкций и здания в целом, определяет прочностной ресурс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 Основные требования к составу и содержанию технического заключения о состоянии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 Состав технических заключений по обследованию несущих конструкций и инженерных систем здания должен содержать: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7.1.1. Отметка об ознакомлении с ТЗК и соответствии выполненных в натуре работ за подписью Главного инженера или ответственного представителя эксплуатирующей организации (визирование общих выводов и рекомендаций, графической части с существующим расположением инженерных коммуникаций).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7.1.2. Исходная документация: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задание;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Справка о проведении ремонтов;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Акты разграничений;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Режимные карты;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Технический паспорт, планы БТИ и пр.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7.1.3. Фотофиксация с привязкой к графической и описательным частям.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 Текстовая часть.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7.1.4.1. Общие данные: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назначение существующего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год постройки и последнего капитального ремонта;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размеры в плане;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количество этажей, секций, подъездов, квартир;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планировочные решения, конструктивные схемы;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несущих элементов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входные группы;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фасады;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балконы, лоджии, козырьки, эркеры;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оконные и дверные заполнения входных групп;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лестницы наружные, входные и противопожарные;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наличие нежилых помещений, переустройств, отдельных входов;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7.1.4.2. Обследование конструкций крыши (покрытия):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несущих систем (настилы, обрешетки, прогоны);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кровли, соответствие уклонов крыши материалу кровельного покрытия, состояние кровли и внутренних водостоков, наличие вентиляционных продухов, их соотношение с площадью крыш;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основные деформации системы (прогибы и удлинение пролета балочных покрытий, углы наклона сечений элементов и узлов ферм), смещения податливых соединений (взаимные сдвиги соединяемых элементов, обмятие во врубках и примыканиях), вторичные деформации разрушения и другие повреждения (трещины скалывания, складки сжатия и др.);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состояние древесины (наличие гнили, жучковых повреждений), наличие гидроизоляции между деревянными и каменными конструкциями;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степень коррозии и ослабления сечений, а также наличие прогибов (для металлических кровель);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размеры обнаруженных трещин и прогибов (для железобетонных плит чердачного перекрытия и покрытия);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ограждений;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входов на чердак, выходов на кровлю, слуховых окон;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температурно-влажностный режим чердачного помещения;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оценка эффективности существующей теплоизоляции;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7.1.4.3. Обследование водоотвода с кровли: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тип, материал, состояние водоотвода с кровли;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и состояние отмостки по периметру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стен здания: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отделка и состояние стен;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состояние межпанельных стыков (при наличии);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тип, отделка и состояние цоколя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оконных заполнений, в том числе чердачных, подвальных и технических этажей;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балконов, лоджий, эркеров, козырьков: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лоджий, балконов, описание конструкций;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оценка гидроизоляция покрытий балконов;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оценка ограждение балконов;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оценка обрамления и других устройств, обеспечивающих отвод атмосферных осадков;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7.1.4.4. Обследование несущих и самонесущих стен: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конструкции несущих, самонесущих стен и материал;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 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определение теплофизических свойств наружных стен (теплотехнический расчёт);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подвала, технического подполья, технического этажа здания, входов в подвал, приямков: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помещений, наличие коммуникаций, в том числе транзитных;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стен;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перекрытий;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полов;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входов в подвал;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приямков;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вестибюлей, крылец, пандусов, съездов, сходов: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крылец;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дверей;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пандусов, съездов, сходов;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лестниц: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лестниц (в том числе противопожарных);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межэтажных перекрытий: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тип перекрытий, заполнения;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полов;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состояние перекрытий;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показатели прочности материалов и расчетные характеристики, расчетная схема (при обнаружении дефектов);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отопления и вентиляции: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 отопления;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нагревательных приборов;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магистральных трубопроводов;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стояков и подводок;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д) запорно-регулировочной арматуры.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 вентиляции;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сборных каналов на чердаке;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вентиляционных шахт;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жалюзийных вентиляционных решеток;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вертикальных каналов;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д) горизонтальных коробов;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холодного водоснабжения: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магистральных трубопроводов;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стояков и подводок;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запорно-регулировочной арматуры;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горячего водоснабжения: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магистральных трубопроводов;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стояков и подводок;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изоляции;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запорно-регулировочной арматуры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водоотведения: описание системы;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магистрали в подвале;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стояков и подводок.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газоснабжения: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магистрали по фасаду здания;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стояков и подводок.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справка о состоянии внутридомового газопровода;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электроснабжения: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вводно-распределительных устройств;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ввод МКС;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групповых, этажных распределительных щитов;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питающих магистралей от ВРУ до стояков подъездов;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магистральных стояков;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групповых сетей освещения общих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мусоропроводов и мусоросборных камер: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мусоропроводов;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и состояние мусоросборных камер.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Обследование системы дымоудаления: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описание системы дымоудаления;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техническое состояние: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а) каналов;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б) шахт;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в) решеток;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    </w:t>
      </w:r>
      <w:r>
        <w:rPr>
          <w:rFonts w:ascii="Times New Roman" w:hAnsi="Times New Roman"/>
          <w:b w:val="false"/>
          <w:sz w:val="24"/>
        </w:rPr>
        <w:t>г) горизонтальных коробов;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выводы и рекомендации в соответствии с ГОСТ 31937-2024 «Здания и сооружения. Правила обследования и мониторинга технического состояния».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Расчетные материалы: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журнал инструментального обследования;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протоколы определения характеристик материалов;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теплотехнические расчеты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7.1.5. Графическая часть: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условные обозначения и общие указания;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технического подполья, первого этажа, типового этажа, чердачного помещения;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план перекрытий над техническим подпольем с указанием дефектов;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перекрытий типового этажа с указанием дефектов;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чердачного перекрытия с указанием;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 стропильной системы с указанием дефектов;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планы кровли (с указанием дефектов покрытия, ограждения кровли, страховочных элементов, системы ливневой канализации);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фасады с указанием дефектов и нумерацией балконов;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поэтажные планы с нанесенным на них инженерным оборудованием (подвал, первый этаж, типовой этаж, чердачное помещение, технический этаж) с указанием диаметров труб, аксонометрических схем, раскладки кабельной продукции.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7.1.6. Техническое заключение о состоянии несущих конструкций и инженерных систем здания должны быть оформлены в соответствии с требованиями действующих законодательных и нормативных документов Российской Федерации, включая, но не ограничиваясь следующими документами: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ГОСТ Р 21.101-2020 «Система проектной документации для строительства. Основные требования к проектной и рабочей документации»;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«Система проектной документации для строительства. Правила выполнения рабочей документации систем отопления, вентиляции и кондиционирования»;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ГОСТ 21.601-2011 «Система проектной документации для строительства. Правила выполнения рабочей документации внутренних систем водоснабжения и канализации»;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ГОСТ 21.606-2016 «Система проектной документации для строительства. Правила выполнения рабочей документации тепломеханических решений котельных»;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МДС 13-1.99 «Инструкция о составе, порядке разработки, согласования и утверждения проектно-сметной документации на капитальный ремонт жилых зданий».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 Основные требования к проектным решениям.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 Проектные решения (работы), необходимость выполнения которых согласована, предоставляемые (выполняемые) Генеральным проектировщиком в рамках капитального ремонта многоквартирного жилого дома должны содержать, но, не ограничиваться: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 Проектное решение замены кровельного покрытия для мягких наплавляемых кровель;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8.1.2 Проектное решение замены кровельного покрытия, ТВР, деревянной стропильной системы, наружного ливневого водостока для скатных кровель, ограждения кровли и крепежа для страховки;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8.1.3 Проектное решение капитального ремонта фасада, включая входные группы в подъезды и подвалы (в том числе замена дверей), козырьки, балконы, отмостки;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8.1.4 Проектное решение капитального ремонта общедомовых помещений – подвал;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8.1.5 Проектные решения по ремонту приямков, отмостки, продухов, окон подвала;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8.1.6 Проектные решения по ремонту мусоропроводов и мусоросборных камер (при необходимости, по заключению ТЗК);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8.1.7 Проектные решения по ремонту машинных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8.1.8 Проектное решение от ввода в дом, включая ВРУ (ГРЩ), до поэтажных щитков (с ремонтом/заменой щитков), кабельная разводка и осветительное и иное оборудование общедомовой системы;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8.1.9 Проектное решение от ввода в дом до поквартирных вводных кранов, включая магистральную разводку, стояки, сохраняя существующие общедомовые узлы учета по системе водоснабжения;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8.1.10 Проектное решение от ввода в дом до фанового выхода и выхода из квартир, системы внутреннего водоотведения, ливневых стоков кровли;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8.1.11 Проектное решение всей системы отопления от ввода в дом, включая элеватор, магистральную разводку, стояки, отопительные приборы, в том числе квартир, сохраняя существующие общедомовые узлы учета;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8.1.12 Проектное решение ремонта системы дымоудаления;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8.1.13 Проектные решения по ремонту и утеплению вытяжных и дымоходных (при наличии газовых колонок) труб выше уровня кровли и в уровне чердака;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8.1.14 Проектное решение по газоснабжению от ввода в многоквартирный дом до поквартирных кранов.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 В рамках проектных работ Генеральный проектировщик производит и предоставляет в составе документации следующие расчеты: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8.2.1 Теплотехнический расчет чердачного перекрытия (с учетом максимальной толщины теплоизоляционного слоя 150 мм, подобрать эффективный утеплитель);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8.2.2 Расчет распределения парциального давления водяного пара по толще конструкции и определение возможности образования конденсата в толще конструкции (расчет точки росы);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8.2.3 Расчет системы отопления;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8.2.4 Расчет несущей способности балконных плит (в случае ограниченной работоспособности, аварийности элементов);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8.2.5 Расчет стропильной системы (в случае ограниченной работоспособности, аварийности элементов).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8.3. Проектные решения должны разрабатываться на основании и соответствовать выпущенному и согласованному Техническому заключению о состоянии несущих конструкций и инженерных систем здания.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8.4. Проектные решения должны соответствовать требованиям действующих законодательных и нормативных документов Российской Федерации, включая, но не ограничиваясь следующими документами: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требованиям национальных стандартов и сводов правил, Перечень которых утвержден постановлением Правительства РФ от 28.05.2021 № 815;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Федеральный закон от 30.12.2009 № 384-ФЗ «Технический регламент о безопасности зданий и сооружений»;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СП 30.13330.2020 «СНиП 2.04.01-85*и СП 30.13330.2012 «СНиП 2.04.01-85* «Внутренний водопровод и канализация зданий»;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СП 52.13330.2016 «Естественное и искусственное освещение». Актуализированная редакция СНиП 23-05-95*;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2.13130.2020 «Системы противопожарной защиты. Обеспечение огнестойкости объектов защиты»;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Федеральный закон от 22.07.2008 № 123-ФЗ «Технический регламент о требованиях пожарной безопасности»;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Постановление Правительства РФ от 16.09.2020 № 1479 «Об утверждении правил противопожарного режима в Российской Федерации»;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59.13330.2020 «СНиП 35-01-2001 «Доступность зданий и сооружений для маломобильных групп населения»;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165.1325800.2014 «Инженерно-технические мероприятия по гражданской обороне. Актуализированная редакция СНиП 2.01.51-90»;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131.13330.2020 «СНиП 23-01-99* Строительная климатология»;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45.13330.2017 «Земляные сооружения, основания и фундаменты. Актуализированная редакция СНиП 3.02.01-87»;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ПУЭ. «Правила устройства электроустановок» изд. 6 и изд. 7 в действующей части;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256.1325800.2016 «Электроустановки жилых и общественных зданий. Правила проектирования и монтажа»;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МДС 41-1.99 Рекомендации по противодымной защите при пожаре» (к СНиП 2.04.05-91*);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СП 73.13330.2016 «СНиП 3.05.01-85. Внутренние санитарно-технические системы зданий.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 Основные требования к составу и содержанию документации.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9.1. Состав документации выполнить с учетом требований постановления Правительства РФ от 16.02.2008 № 87 «О составе разделов проектной документации и требования к их содержанию» (в действующей редакции), а также иным действующим нормативно-правовым актам РФ.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9.2. Документация должна быть выполнена с учетом выпущенного «Технического заключения о состоянии несущих, ограждающих конструкций и инженерных систем здания».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9.3. Документация должна соответствовать требованиям действующих законодательных и нормативных документов Российской Федерации, включая, но не ограничиваясь следующими документами: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ГОСТ Р 21.101-2020 «Система проектной документации для строительства. Основные требования к проектной и рабочей документации»;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- ГОСТ 21.602-2016 «Система проектной документации для строительства. Правила выполнения рабочей документации систем отопления, вентиляции и кондиционирования»;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МДС 13-1.99. Инструкция о составе, порядке разработки, согласования и утверждения проектно-сметной документации на капитальный ремонт жилых зданий.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 Разделы документации, необходимость выполнения которых согласована Генеральным проектировщиком с Заказчиком, выполняются в следующем составе: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9.4.1. Раздел 1. "Пояснительная записка":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реквизиты комплексной программы развития муниципального образования;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исходные данные и условия для подготовки документации. Указываются реквизиты следующих документов: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задание на проектирование;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ссылка на Техническое заключение о состоянии несущих конструкций и инженерных коммуникаций по объекту проектирования;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правоустанавливающие документы (ссылка на документы) на объект;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технические условия к сетям инженерно-технического обеспечения общего пользования;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-документы о согласовании отступлений от положений технических условий (если в процессе проектирования допускались отклонения);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иные исходно-разрешительные документы, установленные законодательными и иными нормативными правовыми актами Российской Федерации, в том числе техническими и градостроительными регламентами;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в) сведения о потребности объекта в топливе, газе, воде и электрической энергии;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технико-экономические показатели проектируемого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сведения о компьютерных программах, которые использовались при выполнении расчетов конструктивных элементов;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заверение проектной организации о том, что документация разработана в соответствии заданием на проектирование, градостроительным регламентом, техническими регламентами, в том числе устанавливающими требования по обеспечению безопасной эксплуатации зданий, строений, сооружений и безопасного использования прилегающих к ним территорий, и с соблюдением технических условий.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9.4.2. Раздел 3. «Архитектурные решения»: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описание внешнего и внутреннего вида объекта, его пространственной, планировочной и функциональной организации;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описание объемно-пространственных и архитектурно-художественных решений, а также технико-экономические показатели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решений по отделке помещений вспомогательного, обслуживающего и технического назначения;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отображение фасадов;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цветовое решение фасадов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поэтажные планы (начиная с подвального этажа, включая чердак, мансарду или верхний технический этаж) с приведением экспликации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план кровли;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9.4.3. Раздел 4. «Конструктивные и объемно-планировочные решения».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метеорологических и климатических условиях участка, на котором размещен объект (при аварийности объекта дополнительно – сведения инженерно- геологических и гидрогеологических условиях);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сведения о прочностных и деформационных характеристиках грунта в основании объекта капитального ремонта (при аварийности объекта);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уровень грунтовых вод, их химический состав, агрессивность грунтовых вод и грунта по отношению к материалам, вновь используемым, а также существующим в подземной части объекта капитального ремонта (при аварийности объекта);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описание и обоснование конструктивных решений, пространственных схем, принятых при выполнении расчетов (при аварийности объекта в целом или отдельных конструкций);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описание и обоснование технических решений, обеспечивающих необходимую прочность, устойчивость, пространственную неизменяемость зданий и сооружений объекта в целом, а также их отдельных конструктивных элементов, узлов, деталей в процессе изготовления, перевозки, строительства, ремонта и эксплуатации объекта (при аварийности объекта в целом или отдельных конструкций);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описание конструктивных и технических решений подземной части объекта; ж) описание объемно-планировочных решений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описание номенклатуры, компоновки и площадей помещений основного, вспомогательного, обслуживающего и технического назначения;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обоснование проектных решений и мероприятий (только в рамках проектных работ по объекту), обеспечивающих: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соблюдение требуемых теплозащитных характеристик ограждающих конструкций;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гидроизоляцию и пароизоляцию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- пожарную безопасность;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к) характеристику и обоснование конструкций полов, кровли, а также отделки помещений (в рамках проектных работ);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поэтажные планы (начиная с подвального этажа, включая чердак, мансарду или верхний технический этаж) зданий и сооружений с приведением экспликации помещений (при необходимости проведения работ на данном этаже);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чертежи характерных разрезов зданий и сооружений с изображением несущих и ограждающих конструкций, указанием относительных высотных отметок уровней конструкций, полов, низа балок, ферм, покрытий с описанием конструкций кровель и других элементов конструкций (при необходимости проведения работ);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чертежи фрагментов планов и разрезов, требующих детального изображения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схемы каркасов и узлов строительных конструкций (только подлежащих ремонту, устройству или восстановлению);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планы перекрытий, покрытий, кровли (только подлежащих ремонту, устройству или восстановлению);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план и сечения фундаментов (при аварийности объекта).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9.4.4. Раздел 12 «Колористический паспорт» (Раздел выполняется при необходимости капитального ремонта фасада):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общие сведения;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сведения об объекте;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функциональное назначение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архитектурно-художественная характеристика;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а) местоположение объекта в структуре города и квартала;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фотофиксация объекта;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в) фотофиксация окружающей застройки (среды);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колористическое решения фасадов.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Раздел выполняется при необходимости капитального ремонта фасада – необходимо подготовить колористические решения по фасадам, согласовать с лицом, осуществляющим управление многоквартирным домом, после согласования – заказать колористический паспорт.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9.4.5.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5.1 «Система электроснабжения»: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характеристика источников электроснабжения в соответствии с техническими условиями на подключение объекта к сетям электроснабжения общего пользования;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обоснование принятой схемы электроснабжения;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сведения о количестве электроприемников, их установленной и расчетной мощности;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требования к надежности электроснабжения и качеству электроэнергии;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д) описание решений по обеспечению электроэнергией электроприемников в соответствии с установленной классификацией в рабочем и аварийном режимах;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описание проектных решений по компенсации реактивной мощности, релейной защите, управлению, автоматизации и диспетчеризации системы электроснабжения;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перечень мероприятий по экономии электроэнергии;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сведения о мощности сетевых и трансформаторных объектов;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перечень мероприятий по заземлению (занулению) и молниезащите;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к) сведения о типе, классе проводов и осветительной арматуры, которые подлежат применению при капитальном ремонте;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л) описание системы рабочего и аварийного освещения;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м) описание дополнительных и резервных источников электроэнергии;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н) перечень мероприятий по резервированию электроэнергии;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принципиальные схемы электроснабжения электроприемников от основного, дополнительного и резервного источников электроснабжения;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принципиальную схему сети освещения - для объектов непроизводственного назначения;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принципиальную схему сети аварийного освещения (при необходимости аварийного освещения);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г) схемы заземлений (занулений) и молниезащиты;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д) план сетей электроснабжения;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схему размещения электрооборудования (при необходимости).;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9.4.6.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5.2 «Система водоснабжения»: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существующих и проектируемых источниках водоснабжения;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описание и характеристика системы водоснабжения и ее параметров;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в) сведения о расчетном (проектном) расходе воды на хозяйственно-питьевые нужды, в том </w:t>
        <w:tab/>
        <w:t>числе на автоматическое пожаротушение (при необходимости) и техническое водоснабжение, включая оборотное;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сведения о фактическом и требуемом напоре в сети водоснабжения, проектных решениях и инженерном оборудовании, обеспечивающих создание требуемого напора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сведения о материалах труб систем водоснабжения и мерах по их защите от агрессивного воздействия грунтов и грунтовых вод;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сведения о качестве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перечень мероприятий по обеспечению установленных показателей качества воды для различных потребителей;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перечень мероприятий по резервированию воды (если резервирование необходимо);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перечень мероприятий по учету водопотребления (описать существующую, сохраняемую систему учета – общедомовые счетчики);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к) описание системы автоматизации водоснабжения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л) перечень мероприятий по рациональному использованию воды, ее экономии;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м) описание системы горячего водоснабжения;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н) расчетный расход горячей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о) описание системы оборотного водоснабжения и мероприятий, обеспечивающих повторное использование тепла подогретой воды;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п) баланс водопотребления и водоотведения по объекту;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а) аксонометрические схемы систем водоснабжения объекта;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план сетей водоснабжения.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9.4.7.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5.3 «Система водоотведение»: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существующих и проектируемых системах канализации, водоотведения и станциях очистки сточных вод;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обоснование принятых систем сбора и отвода сточных вод, объема сточных вод, концентраций их загрязнений, способов предварительной очистки, применяемых реагентов, оборудования и аппаратуры;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и обоснование схемы прокладки канализационных трубопроводов, описание участков прокладки напорных трубопроводов (при наличии), условия их прокладки, оборудование, сведения о материале трубопроводов и колодцев, способы их защиты от агрессивного воздействия грунтов и грунтовых вод;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 xml:space="preserve">г) решения в отношении ливневой канализации и расчетного объема дождевых стоков;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решения по сбору и отводу дренажных вод (при наличии);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аксонометрические схемы систем канализации и водоотведения объекта капитального строительства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план сетей водоотведения.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9.4.8.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5.4 «Отопление, вентиляция и кондиционирование воздуха, тепловые сети»: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климатических и метеорологических условиях района, расчетных параметрах наружного воздуха;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сведения об источниках теплоснабжения, параметрах теплоносителей систем отопления и вентиляции;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и обоснование способов прокладки и конструктивных решений, включая решения в отношении диаметров и теплоизоляции труб теплотрассы от точки присоединения к сетям общего пользования;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перечень мер по защите трубопроводов от агрессивного воздействия грунтов и грунтовых вод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обоснование принятых систем и принципиальных решений по отоплению, вентиляции и кондиционированию воздуха помещений;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обоснование оптимальности размещения отопительного оборудования, характеристик материалов для изготовления воздуховодов;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описание технических решений, обеспечивающих надежность работы систем в экстремальных условиях;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з) описание систем автоматизации и диспетчеризации процесса регулирования отопления, вентиляции и кондиционирования воздуха (при наличии);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и) перечень мероприятий по обеспечению эффективности работы систем вентиляции в аварийной ситуации (при необходимости);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аксонометрические схемы систем отопления, вентиляции и кондиционирования воздуха;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план сетей теплоснабжения.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9.4.9. Раздел 5 «Сведения об инженерном оборудовании, о сетях инженерно- технического обеспечения, перечень инженерно-технических мероприятий, содержание технологических решений». Подраздел 5.6 «Система газоснабжения». (Раздел разрабатывается при условии подключения дома к городской сети газопровода):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характеристика источника газоснабжения в соответствии с техническими условиями;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расчетные (проектные) данные о потребности объекта в газе;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описание технических решений по обеспечению учета и контроля расхода газа, применяемых систем автоматического регулирования;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обоснование выбора маршрута прохождения газопровода и границ охранной зоны присоединяемого газопровода, а также сооружений на нем;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обоснование технических решений устройства электрохимической защиты стального газопровода от коррозии;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сведения о средствах телемеханизации газораспределительных сетей, объектов их энергоснабжения и электропривода;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ж) перечень мероприятий по обеспечению безопасного функционирования объектов системы газоснабжения, в том числе описание и обоснование проектируемых инженерных систем по контролю и предупреждению возникновения потенциальных аварий, систем оповещения и связи;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графической части</w:t>
      </w:r>
      <w:r>
        <w:rPr>
          <w:rFonts w:ascii="Times New Roman" w:hAnsi="Times New Roman"/>
          <w:b w:val="false"/>
          <w:sz w:val="24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схема маршрута прохождения газопровода с указанием границ его охранной зоны и сооружений на газопроводе;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план расположения объектов капитального строительства и газоиспользующего оборудования с указанием планируемых объемов использования газа;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в) план сетей газоснабжения;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аксонометрические схемы систем газоснабжения.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Спецификация материалов, оборудования, ведомости объемов работ.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9.4.10. Раздел 11 «Смета на строительство объектов капитального строительства»: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</w:r>
      <w:r>
        <w:rPr>
          <w:rFonts w:ascii="Times New Roman" w:hAnsi="Times New Roman"/>
          <w:b w:val="false"/>
          <w:sz w:val="24"/>
          <w:u w:val="single"/>
        </w:rPr>
        <w:t>в текстовой части</w:t>
      </w:r>
      <w:r>
        <w:rPr>
          <w:rFonts w:ascii="Times New Roman" w:hAnsi="Times New Roman"/>
          <w:b w:val="false"/>
          <w:sz w:val="24"/>
          <w:u w:val="none"/>
        </w:rPr>
        <w:t>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а) сведения о месте расположения объекта капитального строительства;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б) перечень сборников и каталогов сметных нормативов, принятых для составления сметной документации на строительство;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г) обоснование особенностей определения сметной стоимости строительных работ для объекта капитального строительства;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д) другие сведения о порядке определения сметной стоимости строительства объекта, характерные для него.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е) сметная документация должна содержать сводку затрат, сводный сметный расчет стоимости строительства, объектные и локальные сметные расчеты (сметы), сметные расчеты на отдельные виды затрат.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9.4.11. Раздел 12 «Техническое заключение о состоянии несущих конструкций и инженерных систем здания» – требования по составу и содержанию приведены в п. 7 настоящих требований.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 Прочие требования: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10.1. Применяемые материалы, изделия и оборудование должны соответствовать действующим на территории Российской Федерации ГОСТам, Постановлению Правительства РФ от 27.12.1997 № 1636 «О Правилах подтверждения пригодности новых материалов, изделий, конструкций и технологий для применения в строительстве» и другим нормативным документам: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оконные блоки выполнить из ПВХ профилей, согласно теплотехническому расчету по «ГОСТ 30674-99. Блоки оконные из поливинилхлоридных профилей. Технические условия»;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дверные блоки выполнить по ГОСТ 475-2016 «Блоки дверные деревянные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и комбинированные. Общие технические условия».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10.2. Материалы на наружную и внутреннюю отделку, внутренние инженерные сети согласовываются с Заказчиком в рамках согласования документации.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10.3. Тип оборудования, определенный проектом предусмотреть (отечественного производства) с учетом энергосберегающих технологий.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10.4. Применяемое оборудование должно быть новое, не обремененное правами третьих лиц, отвечать требованиям ГОСТ, СП, установленным нормам противопожарной безопасности и иметь документы, подтверждающие их качество в соответствии с требованиями действующего законодательства.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ab/>
        <w:t>10.5. В документации предусмотреть мероприятия по утилизации строительного мусора в ходе проведения строительно-монтажных работ и по их окончанию.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Приложение № 3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Сведения о существенных условиях договора оказания услуг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 (или) выполнения работ по оценке технического состояния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и проектированию капитального ремонта общего имущества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многоквартирных домов, в том числе по замене лифтов,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которые будут в дальнейшем установлены в документации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 электронном аукционе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b w:val="false"/>
        </w:rPr>
      </w:pPr>
      <w:r>
        <w:rPr>
          <w:b w:val="false"/>
        </w:rPr>
      </w:r>
    </w:p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</w:r>
    </w:p>
    <w:tbl>
      <w:tblPr>
        <w:tblW w:w="9975" w:type="dxa"/>
        <w:jc w:val="left"/>
        <w:tblInd w:w="95" w:type="dxa"/>
        <w:tblLayout w:type="fixed"/>
        <w:tblCellMar>
          <w:top w:w="0" w:type="dxa"/>
          <w:left w:w="5" w:type="dxa"/>
          <w:bottom w:w="0" w:type="dxa"/>
          <w:right w:w="5" w:type="dxa"/>
        </w:tblCellMar>
      </w:tblPr>
      <w:tblGrid>
        <w:gridCol w:w="562"/>
        <w:gridCol w:w="2594"/>
        <w:gridCol w:w="6819"/>
      </w:tblGrid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Заказчик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37" w:leader="none"/>
              </w:tabs>
              <w:spacing w:lineRule="auto" w:line="240" w:before="0" w:after="0"/>
              <w:ind w:firstLine="283" w:left="177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Некоммерческая организация «Фонд содействия реформированию жилищно-коммунального хозяйства Ненецкого автономного округа»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Предмет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37" w:leader="none"/>
              </w:tabs>
              <w:spacing w:lineRule="auto" w:line="240" w:before="0" w:after="0"/>
              <w:ind w:firstLine="283" w:left="177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Предметом договора является выполнение работ по оценке технического состояния и проектированию капитального ремонта общего имущества многоквартирных домов, в том числе по замене лифтов. Работы будут выполняться в отношении объектов, указанных в адресном перечне.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139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заключения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995" w:leader="none"/>
              </w:tabs>
              <w:spacing w:lineRule="auto" w:line="240" w:before="0" w:after="0"/>
              <w:ind w:firstLine="426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Договор заключается Заказчиком в соответствии с Гражданским кодексом Российской Федерации и положением, утвержденным постановлением Правительства Российской Федерации от 1 июля 2016 г. № 615.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843" w:leader="none"/>
              </w:tabs>
              <w:spacing w:lineRule="auto" w:line="240" w:before="0" w:after="0"/>
              <w:ind w:firstLine="426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Порядок заключения договора определяется Заказчиком в документации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843" w:leader="none"/>
              </w:tabs>
              <w:spacing w:lineRule="auto" w:line="240" w:before="0" w:after="0"/>
              <w:ind w:firstLine="426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аукциона, или протокола рассмотрения заявок на участие в электронном аукционе, в котором содержится информация о признании электронного аукциона несостоявшимся, или акта об уклонении победителя электронного аукциона от заключения договора о проведении капитального ремонта, или акта об отказе от заключения договора о проведении капитального ремонта с победителем электронного аукциона. Действие настоящего пункта не распространяется на случаи заключения договора о проведении капитального ремонта с единственной подрядной организацией.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Цена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Фиксированная. Определяется по итогам проведения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Не может превышать начальную (максимальную) цену договора, указанную в документации о проведении электронного аукциона и извещении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Цена договора может быть увеличена по соглашению сторон в ходе его исполнения, но не более чем на 15 процентов в связи с пропорциональным увеличением объема выполнения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4. Цена договора может быть снижена по соглашению сторон при уменьшении предусмотренных договором объемов работ.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9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5. Заказчик вправе выплатить аванс в размере, установленном в документации о проведении электронного аукциона, при этом размер такого аванса не может быть более размера обеспечения исполнения договора, установленного в документации о проведении электронного аукциона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оплаты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 оплаты работ устанавливаются Заказчиком в документации о проведении электронного аукциона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</w:t>
            </w:r>
          </w:p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выполнения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 выполнения работ устанавливаются Заказчиком в документации о проведении электронного аукциона.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245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Порядок и сроки приемки выполненных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531" w:leader="none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Порядок и сроки приемки выполненных работ устанавливаются Заказчиком в документации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567" w:leader="none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Для проверки соответствия качества и объемов выполненных работ, установленных договором, Заказчик вправе привлекать независимых экспертов.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Акт приемки выполненных работ должен быть согласован с уполномоченным представителем органа местного самоуправления, а также с лицом, которое уполномочено действовать от имени собственников помещений в многоквартирном доме. Подписание Акта приемки выполненных работ уполномоченным представителем органа местного самоуправления и представителем собственников помещений в многоквартирном доме признается согласованием данных Актов в соответствии с частью 2 статьи 190 Жилищного кодекса Российской Федерации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338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Место выполнения работ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  <w:tab w:val="left" w:pos="1234" w:leader="none"/>
                <w:tab w:val="left" w:pos="2819" w:leader="none"/>
                <w:tab w:val="left" w:pos="3740" w:leader="none"/>
                <w:tab w:val="left" w:pos="5757" w:leader="none"/>
                <w:tab w:val="left" w:pos="7282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Место выполнения работ устанавливается Заказчиком в документации о проведении электронного аукциона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196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Обеспечение исполнения договора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Исполнение договора обеспечивается: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а) банковской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Федерации;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б) обеспечительным платежом.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Способ обеспечения исполнения договора определяется участником электронного аукциона, с которым заключается такой договор, самостоятельно одним из указанных в пункте 1 способов.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Размер обеспечения исполнения договора указывается в извещении о проведении электронного аукциона и не может превышать 30% начальной (максимальной) цены договора, указанной в извещении о проведении электронного аукциона.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783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4. Обеспечение исполнения договора может быть установлено в размере, превышающем в 1,5 раза размер обеспечения его исполнения, указанный в документации о проведении электронного аукциона, но не менее чем в размере аванса (если договором об оказании услуг предусмотрена выплата аванса), в случае если при проведении электронного аукциона участником закупки, с которым заключается договор об оказании услуг, предложена цена, которая на 25 и более процентов ниже начальной (максимальной) цены договора.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Гарантийный срок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282" w:leader="none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Ответственность Заказчика и Исполнителя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601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Условия договора, предусматривающие ответственность подрядчика и заказчика за неисполнение или ненадлежащее исполнение обязательств по договору, определяются заказчиком в документации о проведении электронного аукциона.</w:t>
            </w:r>
          </w:p>
        </w:tc>
      </w:tr>
      <w:tr>
        <w:trPr>
          <w:trHeight w:val="23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40" w:before="0" w:after="0"/>
              <w:ind w:hanging="357" w:left="470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spacing w:lineRule="auto" w:line="240" w:before="0" w:after="0"/>
              <w:ind w:hanging="0" w:left="104" w:right="0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Другие условия</w:t>
            </w:r>
          </w:p>
        </w:tc>
        <w:tc>
          <w:tcPr>
            <w:tcW w:w="6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tabs>
                <w:tab w:val="clear" w:pos="709"/>
                <w:tab w:val="left" w:pos="81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1. Предмет договора, место проведения работ, сроки выполнения работ, продолжительность этапов выполнения работ, виды работ не могут изменяться в ходе его исполнения.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15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2. При исполнении договора не допускается перемена подрядчика, за исключением случаев, если новый подрядчик является правопреемником подрядчика по договору вследствие реорганизации юридического лица в порядке, предусмотренном законодательством Российской Федерации.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14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3. Расторжение договора допускается:</w:t>
            </w:r>
          </w:p>
          <w:p>
            <w:pPr>
              <w:pStyle w:val="Normal"/>
              <w:widowControl w:val="false"/>
              <w:tabs>
                <w:tab w:val="clear" w:pos="709"/>
                <w:tab w:val="left" w:pos="814" w:leader="none"/>
              </w:tabs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а) по соглашению сторон;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б) по инициативе Заказчика, в том числе в виде одностороннего расторжения договора, или подрядной организации (основания такого расторжения устанавливаются в документации о проведении электронного аукциона);</w:t>
            </w:r>
          </w:p>
          <w:p>
            <w:pPr>
              <w:pStyle w:val="Normal"/>
              <w:widowControl w:val="false"/>
              <w:spacing w:lineRule="auto" w:line="240" w:before="0" w:after="0"/>
              <w:ind w:firstLine="142" w:left="141" w:right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в) по решению суда по основаниям, предусмотренным законодательством Российской Федерации.</w:t>
            </w:r>
          </w:p>
        </w:tc>
      </w:tr>
    </w:tbl>
    <w:p>
      <w:pPr>
        <w:pStyle w:val="Normal"/>
        <w:widowControl w:val="false"/>
        <w:tabs>
          <w:tab w:val="clear" w:pos="709"/>
          <w:tab w:val="left" w:pos="1276" w:leader="none"/>
        </w:tabs>
        <w:spacing w:lineRule="auto" w:line="240" w:before="0" w:after="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XO Thames" w:hAnsi="XO Thames"/>
          <w:b w:val="false"/>
          <w:sz w:val="24"/>
        </w:rPr>
      </w:pPr>
      <w:r>
        <w:rPr>
          <w:rFonts w:ascii="XO Thames" w:hAnsi="XO Thames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Приложение № 4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 xml:space="preserve">к документации о проведении 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  <w:t>предварительного отбора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right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Рекомендуемая форма заявки на участие в предварительном отборе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ЗАЯВКА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УЧАСТИЕ В ПРЕДВАРИТЕЛЬНОМ ОТБОРЕ ПОДРЯДНЫХ ОРГАНИЗАЦИЙ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ИЗВЕЩЕНИЮ № ___ ОТ __________________*</w:t>
      </w:r>
    </w:p>
    <w:p>
      <w:pPr>
        <w:pStyle w:val="BodyTextFirstIndent"/>
        <w:widowControl/>
        <w:tabs>
          <w:tab w:val="clear" w:pos="709"/>
        </w:tabs>
        <w:spacing w:lineRule="auto" w:line="240"/>
        <w:ind w:hanging="0" w:left="0" w:right="0"/>
        <w:jc w:val="both"/>
        <w:rPr>
          <w:rFonts w:ascii="Times New Roman" w:hAnsi="Times New Roman"/>
          <w:b w:val="false"/>
          <w:sz w:val="24"/>
        </w:rPr>
      </w:pPr>
      <w:r>
        <w:rPr>
          <w:rFonts w:ascii="Times New Roman" w:hAnsi="Times New Roman"/>
          <w:b w:val="false"/>
          <w:sz w:val="24"/>
        </w:rPr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Изучив Извещение и документацию о проведении предварительного отбора подрядных организаций № __________ от __________, и принимая установленные в нём требования и условия,</w:t>
      </w:r>
      <w:r>
        <w:rPr>
          <w:rFonts w:ascii="Times New Roman" w:hAnsi="Times New Roman"/>
          <w:i/>
          <w:sz w:val="24"/>
          <w:u w:val="single"/>
        </w:rPr>
        <w:t xml:space="preserve">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в лице </w:t>
      </w:r>
      <w:r>
        <w:rPr>
          <w:rFonts w:ascii="Times New Roman" w:hAnsi="Times New Roman"/>
          <w:i/>
          <w:sz w:val="24"/>
          <w:u w:val="single"/>
        </w:rPr>
        <w:t>(указывается фамилия, имя, отчество (при наличии) представителя участника предварительного отбора – юридического лица)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/>
          <w:sz w:val="24"/>
        </w:rPr>
        <w:t xml:space="preserve"> просит рассмотреть заявку на участие в предварительном отборе подрядных организаций по предмету отбора </w:t>
      </w:r>
      <w:r>
        <w:rPr>
          <w:rFonts w:ascii="Times New Roman" w:hAnsi="Times New Roman"/>
          <w:i/>
          <w:sz w:val="24"/>
          <w:u w:val="single"/>
        </w:rPr>
        <w:t xml:space="preserve">                        (указывается предмет предварительного отбора) .</w:t>
      </w:r>
      <w:r>
        <w:rPr>
          <w:rFonts w:ascii="Times New Roman" w:hAnsi="Times New Roman"/>
          <w:sz w:val="24"/>
        </w:rPr>
        <w:t xml:space="preserve"> 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Документация о проведении предварительного отбора изучена в полном объеме и, признана полной и достаточной для подготовки настоящей Заявки.</w:t>
      </w:r>
    </w:p>
    <w:p>
      <w:pPr>
        <w:pStyle w:val="Normal"/>
        <w:widowControl/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Настоящим гарантируем достоверность представленной информации и, подтверждаем право</w:t>
      </w:r>
      <w:r>
        <w:rPr>
          <w:rFonts w:ascii="Times New Roman" w:hAnsi="Times New Roman"/>
          <w:i/>
          <w:sz w:val="24"/>
          <w:u w:val="single"/>
        </w:rPr>
        <w:t xml:space="preserve"> (указывается наименование органа по ведению реестра квалифицированных подрядных организаций) </w:t>
      </w:r>
      <w:r>
        <w:rPr>
          <w:rFonts w:ascii="Times New Roman" w:hAnsi="Times New Roman"/>
          <w:sz w:val="24"/>
        </w:rPr>
        <w:t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</w:p>
    <w:p>
      <w:pPr>
        <w:pStyle w:val="Normal"/>
        <w:widowControl/>
        <w:spacing w:lineRule="auto" w:line="240" w:before="0" w:after="0"/>
        <w:ind w:hanging="0" w:left="709" w:right="0"/>
        <w:rPr/>
      </w:pPr>
      <w:r>
        <w:rPr>
          <w:rFonts w:ascii="Times New Roman" w:hAnsi="Times New Roman"/>
          <w:sz w:val="24"/>
        </w:rPr>
        <w:t>Сообщаем о себе следующее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2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Полное наименование организации и сведения об организационно-правовой форме (или Фамилия Имя Отчество (при наличии отчества) для индивидуального предпринимателя): _____________________________________________________________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юридического лица (или адрес места жительства – для индивидуального предпринимателя): _____________________________________________________________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для почтовых отправлений: 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Телефон:___________________________________________________________________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электронной почты: ____________________________________________________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Учредители - полное наименование юридического лица и его организационно правовая форма (или ФИО для учредителя – физического лица)/ИНН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3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__________________________________/ИНН____________________________________,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__________________________________/ИНН ___________________________________,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членов коллегиального исполнительного органа/ИНН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4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__________________________________/ИНН____________________________________,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__________________________________/ИНН ___________________________________,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единоличного исполнительного органа/ИНН</w:t>
      </w:r>
      <w:r>
        <w:rPr>
          <w:rStyle w:val="FootnoteReference"/>
          <w:rFonts w:ascii="Times New Roman" w:hAnsi="Times New Roman"/>
          <w:sz w:val="24"/>
          <w:vertAlign w:val="superscript"/>
        </w:rPr>
        <w:footnoteReference w:id="5"/>
      </w:r>
      <w:r>
        <w:rPr>
          <w:rFonts w:ascii="Times New Roman" w:hAnsi="Times New Roman"/>
          <w:sz w:val="24"/>
        </w:rPr>
        <w:t>:</w:t>
      </w:r>
    </w:p>
    <w:p>
      <w:pPr>
        <w:pStyle w:val="Normal"/>
        <w:widowControl/>
        <w:spacing w:lineRule="auto" w:line="240"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____________________________________/ИНН____________________________________,</w:t>
      </w:r>
    </w:p>
    <w:p>
      <w:pPr>
        <w:pStyle w:val="Normal"/>
        <w:widowControl/>
        <w:numPr>
          <w:ilvl w:val="0"/>
          <w:numId w:val="2"/>
        </w:numPr>
        <w:tabs>
          <w:tab w:val="clear" w:pos="709"/>
          <w:tab w:val="left" w:pos="28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ФИО лиц, уполномоченных действовать от имени участника предварительного отбора: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____________________________________________;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____________________________________________;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____________________________________________;</w:t>
      </w:r>
    </w:p>
    <w:p>
      <w:pPr>
        <w:pStyle w:val="Normal"/>
        <w:widowControl/>
        <w:numPr>
          <w:ilvl w:val="0"/>
          <w:numId w:val="0"/>
        </w:numPr>
        <w:tabs>
          <w:tab w:val="clear" w:pos="709"/>
          <w:tab w:val="left" w:pos="644" w:leader="none"/>
        </w:tabs>
        <w:spacing w:lineRule="auto" w:line="240" w:before="0" w:after="0"/>
        <w:ind w:hanging="0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г) ____________________________________________;</w:t>
      </w:r>
    </w:p>
    <w:p>
      <w:pPr>
        <w:pStyle w:val="Normal"/>
        <w:widowControl/>
        <w:tabs>
          <w:tab w:val="clear" w:pos="709"/>
          <w:tab w:val="left" w:pos="284" w:leader="none"/>
        </w:tabs>
        <w:spacing w:lineRule="auto" w:line="240" w:before="0" w:after="0"/>
        <w:ind w:firstLine="709" w:left="0" w:right="0"/>
        <w:jc w:val="both"/>
        <w:rPr/>
      </w:pPr>
      <w:r>
        <w:rPr>
          <w:rFonts w:ascii="Times New Roman" w:hAnsi="Times New Roman"/>
          <w:sz w:val="24"/>
        </w:rPr>
        <w:t>Настоящим</w:t>
      </w:r>
      <w:r>
        <w:rPr>
          <w:rFonts w:ascii="Times New Roman" w:hAnsi="Times New Roman"/>
          <w:i/>
          <w:sz w:val="24"/>
          <w:u w:val="single"/>
        </w:rPr>
        <w:t xml:space="preserve"> (указывается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</w:t>
      </w:r>
      <w:r>
        <w:rPr>
          <w:rFonts w:ascii="Times New Roman" w:hAnsi="Times New Roman"/>
          <w:i w:val="false"/>
          <w:sz w:val="24"/>
          <w:u w:val="none"/>
        </w:rPr>
        <w:t xml:space="preserve"> подтверждает</w:t>
      </w:r>
      <w:r>
        <w:rPr>
          <w:rFonts w:ascii="Times New Roman" w:hAnsi="Times New Roman"/>
          <w:sz w:val="24"/>
        </w:rPr>
        <w:t xml:space="preserve"> соответствие требованиям, установленным в Документации о проведении предварительного отбора.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Приложения: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 xml:space="preserve">(указываются перечень прилагаемых документов, перечисленных в пункте 4 раздела VI. Документации о проведении предварительного отбора)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false"/>
          <w:sz w:val="24"/>
          <w:u w:val="none"/>
        </w:rPr>
        <w:t>Приложение № 5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false"/>
          <w:sz w:val="24"/>
          <w:u w:val="none"/>
        </w:rPr>
        <w:t xml:space="preserve">к документации о проведении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i w:val="false"/>
          <w:sz w:val="24"/>
          <w:u w:val="none"/>
        </w:rPr>
        <w:t>предварительного отбора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 w:val="false"/>
          <w:sz w:val="24"/>
          <w:u w:val="none"/>
        </w:rPr>
        <w:t xml:space="preserve">Рекомендуемая форма Штатно-списочного состава сотрудников </w:t>
      </w:r>
    </w:p>
    <w:p>
      <w:pPr>
        <w:pStyle w:val="Normal"/>
        <w:widowControl/>
        <w:tabs>
          <w:tab w:val="clear" w:pos="709"/>
          <w:tab w:val="left" w:pos="1134" w:leader="none"/>
        </w:tabs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i/>
          <w:i/>
          <w:sz w:val="24"/>
          <w:u w:val="single"/>
        </w:rPr>
      </w:pPr>
      <w:r>
        <w:rPr>
          <w:rFonts w:ascii="Times New Roman" w:hAnsi="Times New Roman"/>
          <w:sz w:val="24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/>
          <w:i/>
          <w:sz w:val="24"/>
          <w:u w:val="single"/>
        </w:rPr>
        <w:t>(указывается полное наименование и организационно правовая форма для юридического лица или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  <w:u w:val="single"/>
        </w:rPr>
        <w:t>Фамилия Имя Отчество (при наличии отчества) для индивидуального предпринимателя).</w:t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p>
      <w:pPr>
        <w:pStyle w:val="Normal"/>
        <w:widowControl/>
        <w:spacing w:lineRule="auto" w:line="240" w:before="0"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5" w:type="dxa"/>
        <w:jc w:val="left"/>
        <w:tblInd w:w="-482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675"/>
        <w:gridCol w:w="2158"/>
        <w:gridCol w:w="1467"/>
        <w:gridCol w:w="1418"/>
        <w:gridCol w:w="1701"/>
        <w:gridCol w:w="2785"/>
      </w:tblGrid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firstLine="43" w:left="-113" w:righ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п/п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работника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28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103" w:right="10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Стаж работы в данной или аналогичной должности, лет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10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Наличие необходимых сертификатов, лицензий, наличие удостоверений по соответствующим допускам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19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-28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0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ind w:hanging="0" w:left="10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103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182" w:right="-3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/>
              <w:spacing w:lineRule="auto" w:line="240" w:before="0" w:after="0"/>
              <w:ind w:hanging="0" w:left="-284" w:right="-3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 w:val="false"/>
        <w:spacing w:lineRule="auto" w:line="240" w:before="0" w:after="0"/>
        <w:ind w:hanging="0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Примечание: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Данные формируются в разрезе каждого сотрудника, удовлетворяющего требованиям к минимальному количеству квалифицированного персонала, установленным органом по ведению реестра квалифицированных подрядных организаций в Приложении № 1 Требования к минимальному количеству персонала участника предварительного отбора, а также требования к их квалификации.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Табличная форма включает в себя следующие данные: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 в графе «№ п/п» указывается номер строки по порядку;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 в графе «Фамилия, имя, отчество работника» указываются фамилия имя и отчество (при наличии отчества) сотрудника;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/>
      </w:pPr>
      <w:r>
        <w:rPr>
          <w:rFonts w:ascii="Times New Roman" w:hAnsi="Times New Roman"/>
          <w:i/>
          <w:sz w:val="24"/>
        </w:rPr>
        <w:t>- в графе «Образование» указываются сведения об образовании и полученной специальности сотрудника, соответствующие данным предоставляемого диплома или другого документа об образовании;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 в графе «Должность» указываются сведения о должности сотрудника, занимаемой в данной организации, соответствующие сведениям трудового договора;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>- в графе «Стаж работы в данной или аналогичной должности, лет» указываются сведения о стаже работы сотрудника в требуемой должности, которые должны соответствовать сведениям в документах, предоставляемых участником предварительного отбора (копиям трудовых книжек, дипломов);</w:t>
      </w:r>
    </w:p>
    <w:p>
      <w:pPr>
        <w:pStyle w:val="Normal"/>
        <w:widowControl w:val="false"/>
        <w:spacing w:lineRule="auto" w:line="240" w:before="0" w:after="0"/>
        <w:ind w:firstLine="426" w:left="-426" w:right="0"/>
        <w:jc w:val="both"/>
        <w:rPr>
          <w:rFonts w:ascii="Times New Roman" w:hAnsi="Times New Roman"/>
          <w:i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- в графе «Наличие необходимых сертификатов, лицензий, наличие удостоверений по соответствующим допускам» указываются сведения об имеющихся у сотрудника сертификатах, разрешений и пр. документов,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134" w:right="567" w:gutter="0" w:header="567" w:top="1134" w:footer="461" w:bottom="1028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Times New Roman">
    <w:charset w:val="01"/>
    <w:family w:val="roman"/>
    <w:pitch w:val="default"/>
  </w:font>
  <w:font w:name="XO Thames">
    <w:charset w:val="01"/>
    <w:family w:val="roman"/>
    <w:pitch w:val="default"/>
  </w:font>
  <w:font w:name="PT Astra Serif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/>
    </w:p>
  </w:footnote>
  <w:footnote w:id="1" w:type="continuationSeparator">
    <w:p>
      <w:pPr>
        <w:rPr>
          <w:sz w:val="12"/>
        </w:rPr>
      </w:pPr>
      <w:r/>
    </w:p>
  </w:footnote>
  <w:footnote w:id="2">
    <w:p>
      <w:pPr>
        <w:pStyle w:val="Footnote1"/>
        <w:widowControl/>
        <w:ind w:hanging="0" w:left="0" w:right="0"/>
        <w:jc w:val="left"/>
        <w:rPr/>
      </w:pPr>
      <w:r>
        <w:rPr>
          <w:rStyle w:val="Style19"/>
        </w:rPr>
        <w:footnoteRef/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16"/>
        </w:rPr>
        <w:t xml:space="preserve">Данный раздел рекомендуемой формы заявки может быть дополнен сведениями  </w:t>
      </w:r>
    </w:p>
  </w:footnote>
  <w:footnote w:id="3">
    <w:p>
      <w:pPr>
        <w:pStyle w:val="Footnote1"/>
        <w:widowControl/>
        <w:ind w:hanging="0" w:left="0" w:right="0"/>
        <w:jc w:val="left"/>
        <w:rPr/>
      </w:pPr>
      <w:r>
        <w:rPr>
          <w:rStyle w:val="Style19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Графа является обязательной для заполнения только для участников - юридических лиц.</w:t>
      </w:r>
    </w:p>
  </w:footnote>
  <w:footnote w:id="4">
    <w:p>
      <w:pPr>
        <w:pStyle w:val="Footnote1"/>
        <w:widowControl/>
        <w:ind w:hanging="0" w:left="0" w:right="0"/>
        <w:jc w:val="left"/>
        <w:rPr/>
      </w:pPr>
      <w:r>
        <w:rPr>
          <w:rStyle w:val="Style19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Графа является обязательной для заполнения только для участников - юридических лиц.</w:t>
      </w:r>
    </w:p>
  </w:footnote>
  <w:footnote w:id="5">
    <w:p>
      <w:pPr>
        <w:pStyle w:val="Footnote1"/>
        <w:widowControl/>
        <w:ind w:hanging="0" w:left="0" w:right="0"/>
        <w:jc w:val="left"/>
        <w:rPr/>
      </w:pPr>
      <w:r>
        <w:rPr>
          <w:rStyle w:val="Style19"/>
        </w:rPr>
        <w:footnoteRef/>
      </w:r>
      <w:r>
        <w:rPr>
          <w:sz w:val="16"/>
        </w:rPr>
        <w:t xml:space="preserve"> </w:t>
      </w:r>
      <w:r>
        <w:rPr>
          <w:rFonts w:ascii="Times New Roman" w:hAnsi="Times New Roman"/>
          <w:sz w:val="16"/>
        </w:rPr>
        <w:t>Графа является обязательной для заполнения только для участников - юридических лиц.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0</w:t>
    </w:r>
    <w:r>
      <w:rPr>
        <w:sz w:val="24"/>
      </w:rPr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>
      <w:rPr>
        <w:sz w:val="24"/>
      </w:rPr>
      <w:t>33</w:t>
    </w:r>
    <w:r>
      <w:rPr>
        <w:sz w:val="24"/>
      </w:rPr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4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color w:val="000000"/>
        <w:sz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0" w:unhideWhenUsed="0" w:qFormat="1"/>
    <w:lsdException w:name="heading 7" w:uiPriority="9" w:semiHidden="0" w:unhideWhenUsed="0" w:qFormat="1"/>
    <w:lsdException w:name="heading 8" w:uiPriority="9" w:semiHidden="0" w:unhideWhenUsed="0" w:qFormat="1"/>
    <w:lsdException w:name="heading 9" w:uiPriority="9" w:semiHidden="0" w:unhideWhenUsed="0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center"/>
    </w:pPr>
    <w:rPr>
      <w:rFonts w:ascii="PT Astra Serif" w:hAnsi="PT Astra Serif" w:eastAsia="Tahoma" w:cs="Noto Sans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1">
    <w:name w:val="Heading 1"/>
    <w:basedOn w:val="111"/>
    <w:next w:val="BodyTextFirstInden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0"/>
    </w:pPr>
    <w:rPr/>
  </w:style>
  <w:style w:type="paragraph" w:styleId="Heading2">
    <w:name w:val="Heading 2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1"/>
    </w:pPr>
    <w:rPr/>
  </w:style>
  <w:style w:type="paragraph" w:styleId="Heading3">
    <w:name w:val="Heading 3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2"/>
    </w:pPr>
    <w:rPr/>
  </w:style>
  <w:style w:type="paragraph" w:styleId="Heading4">
    <w:name w:val="Heading 4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3"/>
    </w:pPr>
    <w:rPr/>
  </w:style>
  <w:style w:type="paragraph" w:styleId="Heading5">
    <w:name w:val="Heading 5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4"/>
    </w:pPr>
    <w:rPr/>
  </w:style>
  <w:style w:type="paragraph" w:styleId="Heading6">
    <w:name w:val="Heading 6"/>
    <w:basedOn w:val="111"/>
    <w:next w:val="BodyText"/>
    <w:uiPriority w:val="9"/>
    <w:qFormat/>
    <w:pPr>
      <w:numPr>
        <w:ilvl w:val="0"/>
        <w:numId w:val="0"/>
      </w:numPr>
      <w:ind w:hanging="0" w:left="0"/>
      <w:outlineLvl w:val="5"/>
    </w:pPr>
    <w:rPr/>
  </w:style>
  <w:style w:type="paragraph" w:styleId="Heading7">
    <w:name w:val="Heading 7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6"/>
    </w:pPr>
    <w:rPr/>
  </w:style>
  <w:style w:type="paragraph" w:styleId="Heading8">
    <w:name w:val="Heading 8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7"/>
    </w:pPr>
    <w:rPr/>
  </w:style>
  <w:style w:type="paragraph" w:styleId="Heading9">
    <w:name w:val="Heading 9"/>
    <w:basedOn w:val="111"/>
    <w:next w:val="BodyText"/>
    <w:uiPriority w:val="9"/>
    <w:qFormat/>
    <w:pPr>
      <w:widowControl/>
      <w:numPr>
        <w:ilvl w:val="0"/>
        <w:numId w:val="0"/>
      </w:numPr>
      <w:spacing w:before="0" w:after="0"/>
      <w:ind w:hanging="0" w:left="0"/>
      <w:outlineLvl w:val="8"/>
    </w:pPr>
    <w:rPr/>
  </w:style>
  <w:style w:type="character" w:styleId="1">
    <w:name w:val="Библиография 1"/>
    <w:basedOn w:val="Style16"/>
    <w:link w:val="113"/>
    <w:qFormat/>
    <w:rPr/>
  </w:style>
  <w:style w:type="character" w:styleId="Tableofauthorities">
    <w:name w:val="table of authorities"/>
    <w:basedOn w:val="Style24"/>
    <w:link w:val="Tableofauthorities1"/>
    <w:qFormat/>
    <w:rPr/>
  </w:style>
  <w:style w:type="character" w:styleId="List5Cont">
    <w:name w:val="List 5 Cont."/>
    <w:basedOn w:val="List1"/>
    <w:qFormat/>
    <w:rPr/>
  </w:style>
  <w:style w:type="character" w:styleId="Contents2">
    <w:name w:val="Contents 2"/>
    <w:basedOn w:val="Style16"/>
    <w:qFormat/>
    <w:rPr/>
  </w:style>
  <w:style w:type="character" w:styleId="List1">
    <w:name w:val="List1"/>
    <w:basedOn w:val="Textbody"/>
    <w:qFormat/>
    <w:rPr/>
  </w:style>
  <w:style w:type="character" w:styleId="3">
    <w:name w:val="Указатель пользователя 3"/>
    <w:basedOn w:val="Style16"/>
    <w:link w:val="311"/>
    <w:qFormat/>
    <w:rPr/>
  </w:style>
  <w:style w:type="character" w:styleId="List4Cont">
    <w:name w:val="List 4 Cont."/>
    <w:basedOn w:val="List1"/>
    <w:qFormat/>
    <w:rPr/>
  </w:style>
  <w:style w:type="character" w:styleId="Index1">
    <w:name w:val="index 1"/>
    <w:basedOn w:val="Style16"/>
    <w:link w:val="Index11"/>
    <w:qFormat/>
    <w:rPr/>
  </w:style>
  <w:style w:type="character" w:styleId="Style5">
    <w:name w:val="Символ концевой сноски"/>
    <w:link w:val="114"/>
    <w:qFormat/>
    <w:rPr>
      <w:vertAlign w:val="superscript"/>
    </w:rPr>
  </w:style>
  <w:style w:type="character" w:styleId="2">
    <w:name w:val="Указатель пользователя 2"/>
    <w:basedOn w:val="Style16"/>
    <w:link w:val="211"/>
    <w:qFormat/>
    <w:rPr/>
  </w:style>
  <w:style w:type="character" w:styleId="Style6">
    <w:name w:val="Цитата"/>
    <w:link w:val="115"/>
    <w:qFormat/>
    <w:rPr>
      <w:i/>
    </w:rPr>
  </w:style>
  <w:style w:type="character" w:styleId="5">
    <w:name w:val="Указатель пользователя 5"/>
    <w:basedOn w:val="Style16"/>
    <w:link w:val="511"/>
    <w:qFormat/>
    <w:rPr/>
  </w:style>
  <w:style w:type="character" w:styleId="Contents4">
    <w:name w:val="Contents 4"/>
    <w:basedOn w:val="Style16"/>
    <w:qFormat/>
    <w:rPr/>
  </w:style>
  <w:style w:type="character" w:styleId="Style7">
    <w:name w:val="Заголовок списка объектов"/>
    <w:basedOn w:val="Style24"/>
    <w:link w:val="116"/>
    <w:qFormat/>
    <w:rPr/>
  </w:style>
  <w:style w:type="character" w:styleId="Textbody">
    <w:name w:val="Text body"/>
    <w:qFormat/>
    <w:rPr/>
  </w:style>
  <w:style w:type="character" w:styleId="Heading71">
    <w:name w:val="Heading 71"/>
    <w:basedOn w:val="Style24"/>
    <w:qFormat/>
    <w:rPr/>
  </w:style>
  <w:style w:type="character" w:styleId="Numbering3">
    <w:name w:val="Numbering 3"/>
    <w:basedOn w:val="List1"/>
    <w:qFormat/>
    <w:rPr/>
  </w:style>
  <w:style w:type="character" w:styleId="Style8">
    <w:name w:val="Блочная цитата"/>
    <w:link w:val="117"/>
    <w:qFormat/>
    <w:rPr/>
  </w:style>
  <w:style w:type="character" w:styleId="Style9">
    <w:name w:val="Заголовок таблицы"/>
    <w:basedOn w:val="Style13"/>
    <w:link w:val="119"/>
    <w:qFormat/>
    <w:rPr>
      <w:b/>
    </w:rPr>
  </w:style>
  <w:style w:type="character" w:styleId="IllustrationIndex1">
    <w:name w:val="Illustration Index 1"/>
    <w:basedOn w:val="Style16"/>
    <w:link w:val="IllustrationIndex11"/>
    <w:qFormat/>
    <w:rPr/>
  </w:style>
  <w:style w:type="character" w:styleId="Contents6">
    <w:name w:val="Contents 6"/>
    <w:basedOn w:val="Style16"/>
    <w:qFormat/>
    <w:rPr/>
  </w:style>
  <w:style w:type="character" w:styleId="Contents7">
    <w:name w:val="Contents 7"/>
    <w:basedOn w:val="Style16"/>
    <w:qFormat/>
    <w:rPr/>
  </w:style>
  <w:style w:type="character" w:styleId="10">
    <w:name w:val="Указатель пользователя 10"/>
    <w:basedOn w:val="Style16"/>
    <w:link w:val="1011"/>
    <w:qFormat/>
    <w:rPr/>
  </w:style>
  <w:style w:type="character" w:styleId="Style10">
    <w:name w:val="Таблица"/>
    <w:basedOn w:val="Caption1"/>
    <w:link w:val="120"/>
    <w:qFormat/>
    <w:rPr/>
  </w:style>
  <w:style w:type="character" w:styleId="Style11">
    <w:name w:val="Символы названия"/>
    <w:link w:val="121"/>
    <w:qFormat/>
    <w:rPr/>
  </w:style>
  <w:style w:type="character" w:styleId="Envelopereturn">
    <w:name w:val="envelope return"/>
    <w:link w:val="Envelopereturn1"/>
    <w:qFormat/>
    <w:rPr/>
  </w:style>
  <w:style w:type="character" w:styleId="4">
    <w:name w:val="Список 4 начало"/>
    <w:basedOn w:val="List1"/>
    <w:link w:val="411"/>
    <w:qFormat/>
    <w:rPr/>
  </w:style>
  <w:style w:type="character" w:styleId="Emphasis">
    <w:name w:val="Emphasis"/>
    <w:qFormat/>
    <w:rPr>
      <w:i/>
    </w:rPr>
  </w:style>
  <w:style w:type="character" w:styleId="Style12">
    <w:name w:val="Вертикальное направление символов"/>
    <w:link w:val="122"/>
    <w:qFormat/>
    <w:rPr/>
  </w:style>
  <w:style w:type="character" w:styleId="Style13">
    <w:name w:val="Содержимое таблицы"/>
    <w:link w:val="118"/>
    <w:qFormat/>
    <w:rPr/>
  </w:style>
  <w:style w:type="character" w:styleId="41">
    <w:name w:val="Указатель пользователя 4"/>
    <w:basedOn w:val="Style16"/>
    <w:link w:val="412"/>
    <w:qFormat/>
    <w:rPr/>
  </w:style>
  <w:style w:type="character" w:styleId="Indexheading1">
    <w:name w:val="index heading1"/>
    <w:basedOn w:val="Style24"/>
    <w:link w:val="Indexheading2"/>
    <w:qFormat/>
    <w:rPr/>
  </w:style>
  <w:style w:type="character" w:styleId="Style14">
    <w:name w:val="Текст в заданном формате"/>
    <w:link w:val="123"/>
    <w:qFormat/>
    <w:rPr>
      <w:rFonts w:ascii="PT Astra Serif" w:hAnsi="PT Astra Serif"/>
      <w:sz w:val="28"/>
    </w:rPr>
  </w:style>
  <w:style w:type="character" w:styleId="Salutation1">
    <w:name w:val="Salutation1"/>
    <w:qFormat/>
    <w:rPr/>
  </w:style>
  <w:style w:type="character" w:styleId="Endnote">
    <w:name w:val="Endnote"/>
    <w:link w:val="Endnote1"/>
    <w:qFormat/>
    <w:rPr>
      <w:sz w:val="28"/>
    </w:rPr>
  </w:style>
  <w:style w:type="character" w:styleId="Heading31">
    <w:name w:val="Heading 31"/>
    <w:basedOn w:val="Style24"/>
    <w:qFormat/>
    <w:rPr/>
  </w:style>
  <w:style w:type="character" w:styleId="42">
    <w:name w:val="Нумерованный 4 начало"/>
    <w:basedOn w:val="List1"/>
    <w:link w:val="413"/>
    <w:qFormat/>
    <w:rPr/>
  </w:style>
  <w:style w:type="character" w:styleId="11">
    <w:name w:val="Нумерованный 1 прод."/>
    <w:basedOn w:val="List1"/>
    <w:link w:val="1110"/>
    <w:qFormat/>
    <w:rPr/>
  </w:style>
  <w:style w:type="character" w:styleId="Style15">
    <w:name w:val="Колонтитул"/>
    <w:link w:val="124"/>
    <w:qFormat/>
    <w:rPr/>
  </w:style>
  <w:style w:type="character" w:styleId="Style16">
    <w:name w:val="Указатель"/>
    <w:link w:val="112"/>
    <w:qFormat/>
    <w:rPr>
      <w:rFonts w:ascii="PT Astra Serif" w:hAnsi="PT Astra Serif"/>
    </w:rPr>
  </w:style>
  <w:style w:type="character" w:styleId="12">
    <w:name w:val="Список объектов 1"/>
    <w:basedOn w:val="Style16"/>
    <w:link w:val="1111"/>
    <w:qFormat/>
    <w:rPr/>
  </w:style>
  <w:style w:type="character" w:styleId="Index2">
    <w:name w:val="index 2"/>
    <w:basedOn w:val="Style16"/>
    <w:link w:val="Index21"/>
    <w:qFormat/>
    <w:rPr/>
  </w:style>
  <w:style w:type="character" w:styleId="Style17">
    <w:name w:val="Заголовок указателей пользователя"/>
    <w:basedOn w:val="Style24"/>
    <w:link w:val="125"/>
    <w:qFormat/>
    <w:rPr/>
  </w:style>
  <w:style w:type="character" w:styleId="Numbering1">
    <w:name w:val="Numbering 1"/>
    <w:basedOn w:val="List1"/>
    <w:qFormat/>
    <w:rPr/>
  </w:style>
  <w:style w:type="character" w:styleId="Style18">
    <w:name w:val="Содержимое списка"/>
    <w:link w:val="126"/>
    <w:qFormat/>
    <w:rPr/>
  </w:style>
  <w:style w:type="character" w:styleId="Heading91">
    <w:name w:val="Heading 91"/>
    <w:basedOn w:val="Style24"/>
    <w:qFormat/>
    <w:rPr/>
  </w:style>
  <w:style w:type="character" w:styleId="21">
    <w:name w:val="Нумерованный 2 начало"/>
    <w:basedOn w:val="List1"/>
    <w:link w:val="212"/>
    <w:qFormat/>
    <w:rPr/>
  </w:style>
  <w:style w:type="character" w:styleId="22">
    <w:name w:val="Нумерованный 2 прод."/>
    <w:basedOn w:val="List1"/>
    <w:link w:val="213"/>
    <w:qFormat/>
    <w:rPr/>
  </w:style>
  <w:style w:type="character" w:styleId="Style19">
    <w:name w:val="Символ сноски"/>
    <w:link w:val="131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3">
    <w:name w:val="Список таблиц 1"/>
    <w:basedOn w:val="Style16"/>
    <w:link w:val="1112"/>
    <w:qFormat/>
    <w:rPr/>
  </w:style>
  <w:style w:type="character" w:styleId="List1Cont">
    <w:name w:val="List 1 Cont."/>
    <w:basedOn w:val="List1"/>
    <w:qFormat/>
    <w:rPr/>
  </w:style>
  <w:style w:type="character" w:styleId="Style20">
    <w:name w:val="Определение"/>
    <w:link w:val="127"/>
    <w:qFormat/>
    <w:rPr/>
  </w:style>
  <w:style w:type="character" w:styleId="Signature1">
    <w:name w:val="Signature1"/>
    <w:qFormat/>
    <w:rPr/>
  </w:style>
  <w:style w:type="character" w:styleId="Numbering4">
    <w:name w:val="Numbering 4"/>
    <w:basedOn w:val="List1"/>
    <w:qFormat/>
    <w:rPr/>
  </w:style>
  <w:style w:type="character" w:styleId="Textbodyindent">
    <w:name w:val="Text body indent"/>
    <w:basedOn w:val="Textbody"/>
    <w:qFormat/>
    <w:rPr/>
  </w:style>
  <w:style w:type="character" w:styleId="23">
    <w:name w:val="Список 2 конец"/>
    <w:basedOn w:val="List1"/>
    <w:link w:val="214"/>
    <w:qFormat/>
    <w:rPr/>
  </w:style>
  <w:style w:type="character" w:styleId="List3">
    <w:name w:val="List 3"/>
    <w:basedOn w:val="List1"/>
    <w:qFormat/>
    <w:rPr/>
  </w:style>
  <w:style w:type="character" w:styleId="Numbering5">
    <w:name w:val="Numbering 5"/>
    <w:basedOn w:val="List1"/>
    <w:qFormat/>
    <w:rPr/>
  </w:style>
  <w:style w:type="character" w:styleId="Index3">
    <w:name w:val="index 3"/>
    <w:basedOn w:val="Style16"/>
    <w:link w:val="Index31"/>
    <w:qFormat/>
    <w:rPr/>
  </w:style>
  <w:style w:type="character" w:styleId="Style21">
    <w:name w:val="Содержимое врезки"/>
    <w:link w:val="128"/>
    <w:qFormat/>
    <w:rPr/>
  </w:style>
  <w:style w:type="character" w:styleId="EndnoteReference">
    <w:name w:val="Endnote Reference"/>
    <w:rPr>
      <w:vertAlign w:val="superscript"/>
    </w:rPr>
  </w:style>
  <w:style w:type="character" w:styleId="31">
    <w:name w:val="Нумерованный 3 прод."/>
    <w:basedOn w:val="List1"/>
    <w:link w:val="312"/>
    <w:qFormat/>
    <w:rPr/>
  </w:style>
  <w:style w:type="character" w:styleId="32">
    <w:name w:val="Список 3 начало"/>
    <w:basedOn w:val="List1"/>
    <w:link w:val="313"/>
    <w:qFormat/>
    <w:rPr/>
  </w:style>
  <w:style w:type="character" w:styleId="9">
    <w:name w:val="Указатель пользователя 9"/>
    <w:basedOn w:val="Style16"/>
    <w:link w:val="91"/>
    <w:qFormat/>
    <w:rPr/>
  </w:style>
  <w:style w:type="character" w:styleId="Contents3">
    <w:name w:val="Contents 3"/>
    <w:basedOn w:val="Style16"/>
    <w:qFormat/>
    <w:rPr/>
  </w:style>
  <w:style w:type="character" w:styleId="Strong">
    <w:name w:val="Strong"/>
    <w:qFormat/>
    <w:rPr>
      <w:b/>
    </w:rPr>
  </w:style>
  <w:style w:type="character" w:styleId="33">
    <w:name w:val="Нумерованный 3 конец"/>
    <w:basedOn w:val="List1"/>
    <w:link w:val="314"/>
    <w:qFormat/>
    <w:rPr/>
  </w:style>
  <w:style w:type="character" w:styleId="Pagenumber">
    <w:name w:val="page number"/>
    <w:link w:val="Pagenumber1"/>
    <w:qFormat/>
    <w:rPr/>
  </w:style>
  <w:style w:type="character" w:styleId="14">
    <w:name w:val="Указатель пользователя 1"/>
    <w:basedOn w:val="Style16"/>
    <w:link w:val="1113"/>
    <w:qFormat/>
    <w:rPr/>
  </w:style>
  <w:style w:type="character" w:styleId="Style22">
    <w:name w:val="Заполнитель"/>
    <w:link w:val="129"/>
    <w:qFormat/>
    <w:rPr>
      <w:smallCaps/>
      <w:color w:val="008080"/>
      <w:u w:val="dotted"/>
    </w:rPr>
  </w:style>
  <w:style w:type="character" w:styleId="Style23">
    <w:name w:val="Маркеры"/>
    <w:link w:val="130"/>
    <w:qFormat/>
    <w:rPr>
      <w:rFonts w:ascii="OpenSymbol" w:hAnsi="OpenSymbol"/>
    </w:rPr>
  </w:style>
  <w:style w:type="character" w:styleId="Annotationtext">
    <w:name w:val="annotation text"/>
    <w:basedOn w:val="Textbody"/>
    <w:link w:val="Annotationtext1"/>
    <w:qFormat/>
    <w:rPr/>
  </w:style>
  <w:style w:type="character" w:styleId="Style24">
    <w:name w:val="Заголовок"/>
    <w:link w:val="111"/>
    <w:qFormat/>
    <w:rPr>
      <w:b/>
    </w:rPr>
  </w:style>
  <w:style w:type="character" w:styleId="Heading51">
    <w:name w:val="Heading 51"/>
    <w:basedOn w:val="Style24"/>
    <w:qFormat/>
    <w:rPr/>
  </w:style>
  <w:style w:type="character" w:styleId="Style25">
    <w:name w:val="Гриф_Экземпляр"/>
    <w:link w:val="132"/>
    <w:qFormat/>
    <w:rPr>
      <w:sz w:val="24"/>
    </w:rPr>
  </w:style>
  <w:style w:type="character" w:styleId="Style26">
    <w:name w:val="Символ нумерации"/>
    <w:link w:val="133"/>
    <w:qFormat/>
    <w:rPr/>
  </w:style>
  <w:style w:type="character" w:styleId="Style27">
    <w:name w:val="Фуригана"/>
    <w:link w:val="134"/>
    <w:qFormat/>
    <w:rPr>
      <w:sz w:val="12"/>
      <w:u w:val="none"/>
    </w:rPr>
  </w:style>
  <w:style w:type="character" w:styleId="Style28">
    <w:name w:val="Верхний колонтитул справа"/>
    <w:link w:val="135"/>
    <w:qFormat/>
    <w:rPr/>
  </w:style>
  <w:style w:type="character" w:styleId="Heading11">
    <w:name w:val="Heading 11"/>
    <w:basedOn w:val="Style24"/>
    <w:qFormat/>
    <w:rPr/>
  </w:style>
  <w:style w:type="character" w:styleId="Style29">
    <w:name w:val="Буквица"/>
    <w:link w:val="136"/>
    <w:qFormat/>
    <w:rPr/>
  </w:style>
  <w:style w:type="character" w:styleId="Style30">
    <w:name w:val="Ввод пользователя"/>
    <w:link w:val="137"/>
    <w:qFormat/>
    <w:rPr>
      <w:rFonts w:ascii="Liberation Mono" w:hAnsi="Liberation Mono"/>
    </w:rPr>
  </w:style>
  <w:style w:type="character" w:styleId="24">
    <w:name w:val="Список 2 начало"/>
    <w:basedOn w:val="List1"/>
    <w:link w:val="215"/>
    <w:qFormat/>
    <w:rPr/>
  </w:style>
  <w:style w:type="character" w:styleId="Style31">
    <w:name w:val="Ссылка указателя"/>
    <w:link w:val="138"/>
    <w:qFormat/>
    <w:rPr/>
  </w:style>
  <w:style w:type="character" w:styleId="Style32">
    <w:name w:val="Обратный отступ"/>
    <w:basedOn w:val="Textbody"/>
    <w:link w:val="139"/>
    <w:qFormat/>
    <w:rPr/>
  </w:style>
  <w:style w:type="character" w:styleId="List2Cont">
    <w:name w:val="List 2 Cont."/>
    <w:basedOn w:val="List1"/>
    <w:qFormat/>
    <w:rPr/>
  </w:style>
  <w:style w:type="character" w:styleId="Hyperlink">
    <w:name w:val="Hyperlink"/>
    <w:rPr>
      <w:color w:val="000080"/>
      <w:u w:val="single"/>
    </w:rPr>
  </w:style>
  <w:style w:type="character" w:styleId="Footnote">
    <w:name w:val="Footnote"/>
    <w:link w:val="Footnote1"/>
    <w:qFormat/>
    <w:rPr>
      <w:sz w:val="28"/>
    </w:rPr>
  </w:style>
  <w:style w:type="character" w:styleId="Heading81">
    <w:name w:val="Heading 81"/>
    <w:basedOn w:val="Style24"/>
    <w:qFormat/>
    <w:rPr/>
  </w:style>
  <w:style w:type="character" w:styleId="Style33">
    <w:name w:val="Текст"/>
    <w:basedOn w:val="Caption1"/>
    <w:link w:val="140"/>
    <w:qFormat/>
    <w:rPr/>
  </w:style>
  <w:style w:type="character" w:styleId="15">
    <w:name w:val="Список 1 конец"/>
    <w:basedOn w:val="List1"/>
    <w:link w:val="1114"/>
    <w:qFormat/>
    <w:rPr/>
  </w:style>
  <w:style w:type="character" w:styleId="Style34">
    <w:name w:val="Непропорциональный текст"/>
    <w:link w:val="141"/>
    <w:qFormat/>
    <w:rPr>
      <w:rFonts w:ascii="Liberation Mono" w:hAnsi="Liberation Mono"/>
    </w:rPr>
  </w:style>
  <w:style w:type="character" w:styleId="List3Cont">
    <w:name w:val="List 3 Cont."/>
    <w:basedOn w:val="List1"/>
    <w:qFormat/>
    <w:rPr/>
  </w:style>
  <w:style w:type="character" w:styleId="Style35">
    <w:name w:val="Переменная"/>
    <w:link w:val="142"/>
    <w:qFormat/>
    <w:rPr>
      <w:i/>
    </w:rPr>
  </w:style>
  <w:style w:type="character" w:styleId="Contents1">
    <w:name w:val="Contents 1"/>
    <w:basedOn w:val="Style16"/>
    <w:qFormat/>
    <w:rPr/>
  </w:style>
  <w:style w:type="character" w:styleId="6">
    <w:name w:val="Указатель пользователя 6"/>
    <w:basedOn w:val="Style16"/>
    <w:link w:val="61"/>
    <w:qFormat/>
    <w:rPr/>
  </w:style>
  <w:style w:type="character" w:styleId="List2">
    <w:name w:val="List 2"/>
    <w:basedOn w:val="List1"/>
    <w:qFormat/>
    <w:rPr/>
  </w:style>
  <w:style w:type="character" w:styleId="Style36">
    <w:name w:val="Пример"/>
    <w:link w:val="143"/>
    <w:qFormat/>
    <w:rPr>
      <w:rFonts w:ascii="Liberation Mono" w:hAnsi="Liberation Mono"/>
    </w:rPr>
  </w:style>
  <w:style w:type="character" w:styleId="43">
    <w:name w:val="Нумерованный 4 конец"/>
    <w:basedOn w:val="List1"/>
    <w:link w:val="414"/>
    <w:qFormat/>
    <w:rPr/>
  </w:style>
  <w:style w:type="character" w:styleId="HeaderandFooter">
    <w:name w:val="Header and Footer"/>
    <w:qFormat/>
    <w:rPr/>
  </w:style>
  <w:style w:type="character" w:styleId="101">
    <w:name w:val="Оглавление 10"/>
    <w:basedOn w:val="Style16"/>
    <w:link w:val="1012"/>
    <w:qFormat/>
    <w:rPr/>
  </w:style>
  <w:style w:type="character" w:styleId="44">
    <w:name w:val="Нумерованный 4 прод."/>
    <w:basedOn w:val="List1"/>
    <w:link w:val="415"/>
    <w:qFormat/>
    <w:rPr/>
  </w:style>
  <w:style w:type="character" w:styleId="Envelopeaddress">
    <w:name w:val="envelope address"/>
    <w:link w:val="Envelopeaddress1"/>
    <w:qFormat/>
    <w:rPr/>
  </w:style>
  <w:style w:type="character" w:styleId="List4">
    <w:name w:val="List 4"/>
    <w:basedOn w:val="List1"/>
    <w:qFormat/>
    <w:rPr/>
  </w:style>
  <w:style w:type="character" w:styleId="25">
    <w:name w:val="Нумерованный 2 конец"/>
    <w:basedOn w:val="List1"/>
    <w:link w:val="216"/>
    <w:qFormat/>
    <w:rPr/>
  </w:style>
  <w:style w:type="character" w:styleId="Contents9">
    <w:name w:val="Contents 9"/>
    <w:basedOn w:val="Style16"/>
    <w:qFormat/>
    <w:rPr/>
  </w:style>
  <w:style w:type="character" w:styleId="Style37">
    <w:name w:val="Основной элемент указателя"/>
    <w:link w:val="144"/>
    <w:qFormat/>
    <w:rPr>
      <w:b/>
    </w:rPr>
  </w:style>
  <w:style w:type="character" w:styleId="Style38">
    <w:name w:val="Верхний колонтитул слева"/>
    <w:link w:val="145"/>
    <w:qFormat/>
    <w:rPr/>
  </w:style>
  <w:style w:type="character" w:styleId="Style39">
    <w:name w:val="Заголовок списка иллюстраций"/>
    <w:basedOn w:val="Style24"/>
    <w:link w:val="146"/>
    <w:qFormat/>
    <w:rPr/>
  </w:style>
  <w:style w:type="character" w:styleId="Contents8">
    <w:name w:val="Contents 8"/>
    <w:basedOn w:val="Style16"/>
    <w:qFormat/>
    <w:rPr/>
  </w:style>
  <w:style w:type="character" w:styleId="34">
    <w:name w:val="Нумерованный 3 начало"/>
    <w:basedOn w:val="List1"/>
    <w:link w:val="315"/>
    <w:qFormat/>
    <w:rPr/>
  </w:style>
  <w:style w:type="character" w:styleId="Style40">
    <w:name w:val="Иллюстрация"/>
    <w:basedOn w:val="Caption1"/>
    <w:link w:val="147"/>
    <w:qFormat/>
    <w:rPr/>
  </w:style>
  <w:style w:type="character" w:styleId="Header1">
    <w:name w:val="Header1"/>
    <w:qFormat/>
    <w:rPr/>
  </w:style>
  <w:style w:type="character" w:styleId="51">
    <w:name w:val="Список 5 конец"/>
    <w:basedOn w:val="List1"/>
    <w:link w:val="512"/>
    <w:qFormat/>
    <w:rPr/>
  </w:style>
  <w:style w:type="character" w:styleId="52">
    <w:name w:val="Нумерованный 5 прод."/>
    <w:basedOn w:val="List1"/>
    <w:link w:val="513"/>
    <w:qFormat/>
    <w:rPr/>
  </w:style>
  <w:style w:type="character" w:styleId="8">
    <w:name w:val="Указатель пользователя 8"/>
    <w:basedOn w:val="Style16"/>
    <w:link w:val="81"/>
    <w:qFormat/>
    <w:rPr/>
  </w:style>
  <w:style w:type="character" w:styleId="Style41">
    <w:name w:val="Нижний колонтитул справа"/>
    <w:link w:val="148"/>
    <w:qFormat/>
    <w:rPr/>
  </w:style>
  <w:style w:type="character" w:styleId="List5">
    <w:name w:val="List 5"/>
    <w:basedOn w:val="List1"/>
    <w:qFormat/>
    <w:rPr/>
  </w:style>
  <w:style w:type="character" w:styleId="Style42">
    <w:name w:val="Рисунок"/>
    <w:basedOn w:val="Caption1"/>
    <w:link w:val="149"/>
    <w:qFormat/>
    <w:rPr/>
  </w:style>
  <w:style w:type="character" w:styleId="45">
    <w:name w:val="Список 4 конец"/>
    <w:basedOn w:val="List1"/>
    <w:link w:val="416"/>
    <w:qFormat/>
    <w:rPr/>
  </w:style>
  <w:style w:type="character" w:styleId="16">
    <w:name w:val="Нумерованный 1 конец"/>
    <w:basedOn w:val="List1"/>
    <w:link w:val="1115"/>
    <w:qFormat/>
    <w:rPr/>
  </w:style>
  <w:style w:type="character" w:styleId="Style43">
    <w:name w:val="Исходный текст"/>
    <w:link w:val="150"/>
    <w:qFormat/>
    <w:rPr>
      <w:rFonts w:ascii="Liberation Mono" w:hAnsi="Liberation Mono"/>
    </w:rPr>
  </w:style>
  <w:style w:type="character" w:styleId="17">
    <w:name w:val="Список 1 начало"/>
    <w:basedOn w:val="List1"/>
    <w:link w:val="1116"/>
    <w:qFormat/>
    <w:rPr/>
  </w:style>
  <w:style w:type="character" w:styleId="Contents5">
    <w:name w:val="Contents 5"/>
    <w:basedOn w:val="Style16"/>
    <w:qFormat/>
    <w:rPr/>
  </w:style>
  <w:style w:type="character" w:styleId="Style44">
    <w:name w:val="Нижний колонтитул слева"/>
    <w:link w:val="151"/>
    <w:qFormat/>
    <w:rPr/>
  </w:style>
  <w:style w:type="character" w:styleId="Linenumber">
    <w:name w:val="line number"/>
    <w:link w:val="Linenumber1"/>
    <w:qFormat/>
    <w:rPr/>
  </w:style>
  <w:style w:type="character" w:styleId="102">
    <w:name w:val="Заголовок 10"/>
    <w:basedOn w:val="Style24"/>
    <w:link w:val="1013"/>
    <w:qFormat/>
    <w:rPr/>
  </w:style>
  <w:style w:type="character" w:styleId="35">
    <w:name w:val="Список 3 конец"/>
    <w:basedOn w:val="List1"/>
    <w:link w:val="316"/>
    <w:qFormat/>
    <w:rPr/>
  </w:style>
  <w:style w:type="character" w:styleId="Style45">
    <w:name w:val="Заголовок списка таблиц"/>
    <w:basedOn w:val="Style24"/>
    <w:link w:val="152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46">
    <w:name w:val="Горизонтальная линия"/>
    <w:link w:val="153"/>
    <w:qFormat/>
    <w:rPr>
      <w:sz w:val="4"/>
    </w:rPr>
  </w:style>
  <w:style w:type="character" w:styleId="53">
    <w:name w:val="Нумерованный 5 начало"/>
    <w:basedOn w:val="List1"/>
    <w:link w:val="514"/>
    <w:qFormat/>
    <w:rPr/>
  </w:style>
  <w:style w:type="character" w:styleId="Subtitle1">
    <w:name w:val="Subtitle1"/>
    <w:qFormat/>
    <w:rPr>
      <w:b/>
    </w:rPr>
  </w:style>
  <w:style w:type="character" w:styleId="ContentsHeading">
    <w:name w:val="Contents Heading"/>
    <w:basedOn w:val="Style24"/>
    <w:qFormat/>
    <w:rPr/>
  </w:style>
  <w:style w:type="character" w:styleId="Firstlineindent">
    <w:name w:val="First line indent"/>
    <w:qFormat/>
    <w:rPr/>
  </w:style>
  <w:style w:type="character" w:styleId="Title1">
    <w:name w:val="Title1"/>
    <w:qFormat/>
    <w:rPr>
      <w:b/>
    </w:rPr>
  </w:style>
  <w:style w:type="character" w:styleId="Heading41">
    <w:name w:val="Heading 41"/>
    <w:basedOn w:val="Style24"/>
    <w:qFormat/>
    <w:rPr/>
  </w:style>
  <w:style w:type="character" w:styleId="Caption1">
    <w:name w:val="caption1"/>
    <w:link w:val="Caption2"/>
    <w:qFormat/>
    <w:rPr>
      <w:i w:val="false"/>
      <w:sz w:val="28"/>
    </w:rPr>
  </w:style>
  <w:style w:type="character" w:styleId="Footer1">
    <w:name w:val="Footer1"/>
    <w:qFormat/>
    <w:rPr/>
  </w:style>
  <w:style w:type="character" w:styleId="18">
    <w:name w:val="Нумерованный 1 начало"/>
    <w:basedOn w:val="List1"/>
    <w:link w:val="1117"/>
    <w:qFormat/>
    <w:rPr/>
  </w:style>
  <w:style w:type="character" w:styleId="Numbering2">
    <w:name w:val="Numbering 2"/>
    <w:basedOn w:val="List1"/>
    <w:qFormat/>
    <w:rPr/>
  </w:style>
  <w:style w:type="character" w:styleId="Style47">
    <w:name w:val="Отступы"/>
    <w:basedOn w:val="Textbody"/>
    <w:link w:val="154"/>
    <w:qFormat/>
    <w:rPr/>
  </w:style>
  <w:style w:type="character" w:styleId="Heading21">
    <w:name w:val="Heading 21"/>
    <w:basedOn w:val="Style24"/>
    <w:qFormat/>
    <w:rPr/>
  </w:style>
  <w:style w:type="character" w:styleId="List11">
    <w:name w:val="List 1"/>
    <w:basedOn w:val="List1"/>
    <w:qFormat/>
    <w:rPr/>
  </w:style>
  <w:style w:type="character" w:styleId="54">
    <w:name w:val="Нумерованный 5 конец"/>
    <w:basedOn w:val="List1"/>
    <w:link w:val="515"/>
    <w:qFormat/>
    <w:rPr/>
  </w:style>
  <w:style w:type="character" w:styleId="Heading61">
    <w:name w:val="Heading 61"/>
    <w:basedOn w:val="Style24"/>
    <w:qFormat/>
    <w:rPr/>
  </w:style>
  <w:style w:type="character" w:styleId="Style48">
    <w:name w:val="Исполнитель документа"/>
    <w:link w:val="155"/>
    <w:qFormat/>
    <w:rPr>
      <w:sz w:val="24"/>
    </w:rPr>
  </w:style>
  <w:style w:type="character" w:styleId="55">
    <w:name w:val="Список 5 начало"/>
    <w:basedOn w:val="List1"/>
    <w:link w:val="516"/>
    <w:qFormat/>
    <w:rPr/>
  </w:style>
  <w:style w:type="character" w:styleId="Style49">
    <w:name w:val="Заголовок списка"/>
    <w:link w:val="156"/>
    <w:qFormat/>
    <w:rPr/>
  </w:style>
  <w:style w:type="character" w:styleId="7">
    <w:name w:val="Указатель пользователя 7"/>
    <w:basedOn w:val="Style16"/>
    <w:link w:val="71"/>
    <w:qFormat/>
    <w:rPr/>
  </w:style>
  <w:style w:type="character" w:styleId="Style50">
    <w:name w:val="Разделитель предметного указателя"/>
    <w:basedOn w:val="Style16"/>
    <w:link w:val="157"/>
    <w:qFormat/>
    <w:rPr/>
  </w:style>
  <w:style w:type="paragraph" w:styleId="19">
    <w:name w:val="Заголовок1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widowControl/>
      <w:jc w:val="both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10">
    <w:name w:val="Указатель1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>
    <w:name w:val="Заголовок11"/>
    <w:basedOn w:val="Normal"/>
    <w:next w:val="BodyTextFirstIndent"/>
    <w:link w:val="Style24"/>
    <w:qFormat/>
    <w:pPr>
      <w:keepNext w:val="false"/>
      <w:widowControl/>
      <w:spacing w:before="0" w:after="0"/>
      <w:jc w:val="center"/>
    </w:pPr>
    <w:rPr>
      <w:b/>
    </w:rPr>
  </w:style>
  <w:style w:type="paragraph" w:styleId="112">
    <w:name w:val="Указатель11"/>
    <w:basedOn w:val="Normal"/>
    <w:link w:val="Style16"/>
    <w:qFormat/>
    <w:pPr/>
    <w:rPr>
      <w:rFonts w:ascii="PT Astra Serif" w:hAnsi="PT Astra Serif"/>
    </w:rPr>
  </w:style>
  <w:style w:type="paragraph" w:styleId="113">
    <w:name w:val="Библиография 11"/>
    <w:basedOn w:val="112"/>
    <w:link w:val="1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1">
    <w:name w:val="table of authorities1"/>
    <w:basedOn w:val="111"/>
    <w:link w:val="Tableofauthorities"/>
    <w:qFormat/>
    <w:pPr>
      <w:widowControl/>
      <w:ind w:hanging="0" w:left="0" w:right="0"/>
    </w:pPr>
    <w:rPr/>
  </w:style>
  <w:style w:type="paragraph" w:styleId="ListContinue5">
    <w:name w:val="List Continue 5"/>
    <w:basedOn w:val="List"/>
    <w:pPr>
      <w:widowControl/>
      <w:spacing w:before="0" w:after="0"/>
      <w:ind w:hanging="0" w:left="0" w:right="0"/>
    </w:pPr>
    <w:rPr/>
  </w:style>
  <w:style w:type="paragraph" w:styleId="TOC2">
    <w:name w:val="TOC 2"/>
    <w:basedOn w:val="112"/>
    <w:uiPriority w:val="39"/>
    <w:pPr>
      <w:widowControl/>
      <w:tabs>
        <w:tab w:val="clear" w:pos="709"/>
        <w:tab w:val="right" w:pos="9355" w:leader="dot"/>
      </w:tabs>
      <w:ind w:hanging="0" w:left="0" w:right="0"/>
    </w:pPr>
    <w:rPr/>
  </w:style>
  <w:style w:type="paragraph" w:styleId="311">
    <w:name w:val="Указатель пользователя 31"/>
    <w:basedOn w:val="112"/>
    <w:link w:val="3"/>
    <w:qFormat/>
    <w:pPr>
      <w:widowControl/>
      <w:tabs>
        <w:tab w:val="clear" w:pos="709"/>
        <w:tab w:val="right" w:pos="9072" w:leader="dot"/>
      </w:tabs>
      <w:ind w:hanging="0" w:left="0" w:right="0"/>
    </w:pPr>
    <w:rPr/>
  </w:style>
  <w:style w:type="paragraph" w:styleId="ListContinue4">
    <w:name w:val="List Continue 4"/>
    <w:basedOn w:val="List"/>
    <w:pPr>
      <w:widowControl/>
      <w:spacing w:before="0" w:after="0"/>
      <w:ind w:hanging="0" w:left="0" w:right="0"/>
    </w:pPr>
    <w:rPr/>
  </w:style>
  <w:style w:type="paragraph" w:styleId="Index11">
    <w:name w:val="index 11"/>
    <w:basedOn w:val="112"/>
    <w:link w:val="Index1"/>
    <w:qFormat/>
    <w:pPr>
      <w:widowControl/>
      <w:ind w:hanging="0" w:left="0" w:right="0"/>
    </w:pPr>
    <w:rPr/>
  </w:style>
  <w:style w:type="paragraph" w:styleId="114">
    <w:name w:val="Символ концевой сноски1"/>
    <w:link w:val="Style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211">
    <w:name w:val="Указатель пользователя 21"/>
    <w:basedOn w:val="112"/>
    <w:link w:val="2"/>
    <w:qFormat/>
    <w:pPr>
      <w:widowControl/>
      <w:tabs>
        <w:tab w:val="clear" w:pos="709"/>
        <w:tab w:val="right" w:pos="9355" w:leader="dot"/>
      </w:tabs>
      <w:ind w:hanging="0" w:left="0" w:right="0"/>
    </w:pPr>
    <w:rPr/>
  </w:style>
  <w:style w:type="paragraph" w:styleId="115">
    <w:name w:val="Цитата1"/>
    <w:link w:val="Style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511">
    <w:name w:val="Указатель пользователя 51"/>
    <w:basedOn w:val="112"/>
    <w:link w:val="5"/>
    <w:qFormat/>
    <w:pPr>
      <w:widowControl/>
      <w:tabs>
        <w:tab w:val="clear" w:pos="709"/>
        <w:tab w:val="right" w:pos="8506" w:leader="dot"/>
      </w:tabs>
      <w:ind w:hanging="0" w:left="0" w:right="0"/>
    </w:pPr>
    <w:rPr/>
  </w:style>
  <w:style w:type="paragraph" w:styleId="TOC4">
    <w:name w:val="TOC 4"/>
    <w:basedOn w:val="112"/>
    <w:uiPriority w:val="39"/>
    <w:pPr>
      <w:widowControl/>
      <w:tabs>
        <w:tab w:val="clear" w:pos="709"/>
        <w:tab w:val="right" w:pos="8789" w:leader="dot"/>
      </w:tabs>
      <w:ind w:hanging="0" w:left="0" w:right="0"/>
    </w:pPr>
    <w:rPr/>
  </w:style>
  <w:style w:type="paragraph" w:styleId="IndexHeading">
    <w:name w:val="Index Heading"/>
    <w:basedOn w:val="111"/>
    <w:pPr/>
    <w:rPr/>
  </w:style>
  <w:style w:type="paragraph" w:styleId="116">
    <w:name w:val="Заголовок списка объектов1"/>
    <w:basedOn w:val="111"/>
    <w:link w:val="Style7"/>
    <w:qFormat/>
    <w:pPr>
      <w:widowControl/>
      <w:ind w:hanging="0" w:left="0" w:right="0"/>
    </w:pPr>
    <w:rPr/>
  </w:style>
  <w:style w:type="paragraph" w:styleId="ListNumber3">
    <w:name w:val="List Number 3"/>
    <w:basedOn w:val="List"/>
    <w:pPr>
      <w:widowControl/>
      <w:spacing w:before="0" w:after="0"/>
      <w:ind w:hanging="0" w:left="0" w:right="0"/>
    </w:pPr>
    <w:rPr/>
  </w:style>
  <w:style w:type="paragraph" w:styleId="117">
    <w:name w:val="Блочная цитата1"/>
    <w:basedOn w:val="Normal"/>
    <w:link w:val="Style8"/>
    <w:qFormat/>
    <w:pPr>
      <w:widowControl/>
      <w:spacing w:before="0" w:after="0"/>
      <w:ind w:hanging="0" w:left="0" w:right="0"/>
    </w:pPr>
    <w:rPr/>
  </w:style>
  <w:style w:type="paragraph" w:styleId="118">
    <w:name w:val="Содержимое таблицы1"/>
    <w:basedOn w:val="Normal"/>
    <w:link w:val="Style13"/>
    <w:qFormat/>
    <w:pPr>
      <w:widowControl w:val="false"/>
    </w:pPr>
    <w:rPr/>
  </w:style>
  <w:style w:type="paragraph" w:styleId="119">
    <w:name w:val="Заголовок таблицы1"/>
    <w:basedOn w:val="118"/>
    <w:link w:val="Style9"/>
    <w:qFormat/>
    <w:pPr>
      <w:widowControl/>
      <w:jc w:val="center"/>
    </w:pPr>
    <w:rPr>
      <w:b/>
    </w:rPr>
  </w:style>
  <w:style w:type="paragraph" w:styleId="IllustrationIndex11">
    <w:name w:val="Illustration Index 11"/>
    <w:basedOn w:val="112"/>
    <w:link w:val="IllustrationIndex1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TOC6">
    <w:name w:val="TOC 6"/>
    <w:basedOn w:val="112"/>
    <w:uiPriority w:val="39"/>
    <w:pPr>
      <w:widowControl/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112"/>
    <w:uiPriority w:val="39"/>
    <w:pPr>
      <w:widowControl/>
      <w:tabs>
        <w:tab w:val="clear" w:pos="709"/>
        <w:tab w:val="right" w:pos="7940" w:leader="dot"/>
      </w:tabs>
      <w:ind w:hanging="0" w:left="0" w:right="0"/>
    </w:pPr>
    <w:rPr/>
  </w:style>
  <w:style w:type="paragraph" w:styleId="1011">
    <w:name w:val="Указатель пользователя 101"/>
    <w:basedOn w:val="112"/>
    <w:link w:val="10"/>
    <w:qFormat/>
    <w:pPr>
      <w:widowControl/>
      <w:tabs>
        <w:tab w:val="clear" w:pos="709"/>
        <w:tab w:val="right" w:pos="7091" w:leader="dot"/>
      </w:tabs>
      <w:ind w:hanging="0" w:left="0" w:right="0"/>
    </w:pPr>
    <w:rPr/>
  </w:style>
  <w:style w:type="paragraph" w:styleId="120">
    <w:name w:val="Таблица1"/>
    <w:basedOn w:val="Caption2"/>
    <w:link w:val="Style10"/>
    <w:qFormat/>
    <w:pPr/>
    <w:rPr/>
  </w:style>
  <w:style w:type="paragraph" w:styleId="121">
    <w:name w:val="Символы названия1"/>
    <w:link w:val="Style1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Envelopereturn1">
    <w:name w:val="envelope return1"/>
    <w:basedOn w:val="Normal"/>
    <w:link w:val="Envelopereturn"/>
    <w:qFormat/>
    <w:pPr>
      <w:widowControl/>
      <w:spacing w:before="0" w:after="0"/>
    </w:pPr>
    <w:rPr/>
  </w:style>
  <w:style w:type="paragraph" w:styleId="411">
    <w:name w:val="Список 4 начало1"/>
    <w:basedOn w:val="List"/>
    <w:next w:val="ListBullet4"/>
    <w:link w:val="4"/>
    <w:qFormat/>
    <w:pPr>
      <w:widowControl/>
      <w:spacing w:before="0" w:after="0"/>
      <w:ind w:hanging="0" w:left="0" w:right="0"/>
    </w:pPr>
    <w:rPr/>
  </w:style>
  <w:style w:type="paragraph" w:styleId="Emphasis1">
    <w:name w:val="Emphasis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122">
    <w:name w:val="Вертикальное направление символов1"/>
    <w:link w:val="Style1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2">
    <w:name w:val="Указатель пользователя 41"/>
    <w:basedOn w:val="112"/>
    <w:link w:val="41"/>
    <w:qFormat/>
    <w:pPr>
      <w:widowControl/>
      <w:tabs>
        <w:tab w:val="clear" w:pos="709"/>
        <w:tab w:val="right" w:pos="8789" w:leader="dot"/>
      </w:tabs>
      <w:ind w:hanging="0" w:left="0" w:right="0"/>
    </w:pPr>
    <w:rPr/>
  </w:style>
  <w:style w:type="paragraph" w:styleId="Indexheading2">
    <w:name w:val="index heading2"/>
    <w:basedOn w:val="111"/>
    <w:link w:val="Indexheading1"/>
    <w:qFormat/>
    <w:pPr>
      <w:widowControl/>
      <w:ind w:hanging="0" w:left="0" w:right="0"/>
    </w:pPr>
    <w:rPr/>
  </w:style>
  <w:style w:type="paragraph" w:styleId="123">
    <w:name w:val="Текст в заданном формате1"/>
    <w:basedOn w:val="Normal"/>
    <w:link w:val="Style14"/>
    <w:qFormat/>
    <w:pPr>
      <w:widowControl/>
      <w:spacing w:before="0" w:after="0"/>
    </w:pPr>
    <w:rPr>
      <w:rFonts w:ascii="PT Astra Serif" w:hAnsi="PT Astra Serif"/>
      <w:sz w:val="28"/>
    </w:rPr>
  </w:style>
  <w:style w:type="paragraph" w:styleId="Salutation">
    <w:name w:val="Salutation"/>
    <w:basedOn w:val="Normal"/>
    <w:pPr/>
    <w:rPr/>
  </w:style>
  <w:style w:type="paragraph" w:styleId="Endnote1">
    <w:name w:val="Endnote1"/>
    <w:basedOn w:val="Normal"/>
    <w:link w:val="Endnote"/>
    <w:qFormat/>
    <w:pPr>
      <w:widowControl/>
      <w:ind w:hanging="0" w:left="0" w:right="0"/>
    </w:pPr>
    <w:rPr>
      <w:sz w:val="28"/>
    </w:rPr>
  </w:style>
  <w:style w:type="paragraph" w:styleId="413">
    <w:name w:val="Нумерованный 4 начало1"/>
    <w:basedOn w:val="List"/>
    <w:next w:val="ListNumber4"/>
    <w:link w:val="42"/>
    <w:qFormat/>
    <w:pPr>
      <w:widowControl/>
      <w:spacing w:before="0" w:after="0"/>
      <w:ind w:hanging="0" w:left="0" w:right="0"/>
    </w:pPr>
    <w:rPr/>
  </w:style>
  <w:style w:type="paragraph" w:styleId="1110">
    <w:name w:val="Нумерованный 1 прод.1"/>
    <w:basedOn w:val="List"/>
    <w:link w:val="11"/>
    <w:qFormat/>
    <w:pPr>
      <w:widowControl/>
      <w:spacing w:before="0" w:after="0"/>
      <w:ind w:hanging="0" w:left="0" w:right="0"/>
    </w:pPr>
    <w:rPr/>
  </w:style>
  <w:style w:type="paragraph" w:styleId="124">
    <w:name w:val="Колонтитул1"/>
    <w:basedOn w:val="Normal"/>
    <w:link w:val="Style15"/>
    <w:qFormat/>
    <w:pPr/>
    <w:rPr/>
  </w:style>
  <w:style w:type="paragraph" w:styleId="1111">
    <w:name w:val="Список объектов 11"/>
    <w:basedOn w:val="112"/>
    <w:link w:val="12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Index21">
    <w:name w:val="index 21"/>
    <w:basedOn w:val="112"/>
    <w:link w:val="Index2"/>
    <w:qFormat/>
    <w:pPr>
      <w:widowControl/>
      <w:ind w:hanging="0" w:left="0" w:right="0"/>
    </w:pPr>
    <w:rPr/>
  </w:style>
  <w:style w:type="paragraph" w:styleId="125">
    <w:name w:val="Заголовок указателей пользователя1"/>
    <w:basedOn w:val="111"/>
    <w:link w:val="Style17"/>
    <w:qFormat/>
    <w:pPr/>
    <w:rPr/>
  </w:style>
  <w:style w:type="paragraph" w:styleId="ListNumber">
    <w:name w:val="List Number"/>
    <w:basedOn w:val="List"/>
    <w:pPr>
      <w:widowControl/>
      <w:numPr>
        <w:ilvl w:val="0"/>
        <w:numId w:val="3"/>
      </w:numPr>
      <w:spacing w:before="0" w:after="0"/>
    </w:pPr>
    <w:rPr/>
  </w:style>
  <w:style w:type="paragraph" w:styleId="126">
    <w:name w:val="Содержимое списка1"/>
    <w:basedOn w:val="Normal"/>
    <w:link w:val="Style18"/>
    <w:qFormat/>
    <w:pPr>
      <w:widowControl/>
      <w:ind w:hanging="0" w:left="0" w:right="0"/>
    </w:pPr>
    <w:rPr/>
  </w:style>
  <w:style w:type="paragraph" w:styleId="212">
    <w:name w:val="Нумерованный 2 начало1"/>
    <w:basedOn w:val="List"/>
    <w:next w:val="ListNumber2"/>
    <w:link w:val="21"/>
    <w:qFormat/>
    <w:pPr>
      <w:widowControl/>
      <w:spacing w:before="0" w:after="0"/>
      <w:ind w:hanging="0" w:left="0" w:right="0"/>
    </w:pPr>
    <w:rPr/>
  </w:style>
  <w:style w:type="paragraph" w:styleId="213">
    <w:name w:val="Нумерованный 2 прод.1"/>
    <w:basedOn w:val="List"/>
    <w:link w:val="22"/>
    <w:qFormat/>
    <w:pPr>
      <w:widowControl/>
      <w:spacing w:before="0" w:after="0"/>
      <w:ind w:hanging="0" w:left="0" w:right="0"/>
    </w:pPr>
    <w:rPr/>
  </w:style>
  <w:style w:type="paragraph" w:styleId="FootnoteSymbol">
    <w:name w:val="Footnote 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112">
    <w:name w:val="Список таблиц 11"/>
    <w:basedOn w:val="112"/>
    <w:link w:val="13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ListContinue">
    <w:name w:val="List Continue"/>
    <w:basedOn w:val="List"/>
    <w:pPr>
      <w:widowControl/>
      <w:spacing w:before="0" w:after="0"/>
      <w:ind w:hanging="0" w:left="0" w:right="0"/>
    </w:pPr>
    <w:rPr/>
  </w:style>
  <w:style w:type="paragraph" w:styleId="127">
    <w:name w:val="Определение1"/>
    <w:link w:val="Style2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Signature">
    <w:name w:val="Signature"/>
    <w:basedOn w:val="Normal"/>
    <w:pPr>
      <w:widowControl/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ListNumber4">
    <w:name w:val="List Number 4"/>
    <w:basedOn w:val="List"/>
    <w:pPr>
      <w:widowControl/>
      <w:spacing w:before="0" w:after="0"/>
      <w:ind w:hanging="0" w:left="0" w:right="0"/>
    </w:pPr>
    <w:rPr/>
  </w:style>
  <w:style w:type="paragraph" w:styleId="BodyTextIndent">
    <w:name w:val="Body Text Indent"/>
    <w:basedOn w:val="BodyText"/>
    <w:pPr>
      <w:widowControl/>
      <w:ind w:hanging="0" w:left="0" w:right="0"/>
    </w:pPr>
    <w:rPr/>
  </w:style>
  <w:style w:type="paragraph" w:styleId="214">
    <w:name w:val="Список 2 конец1"/>
    <w:basedOn w:val="List"/>
    <w:next w:val="ListBullet2"/>
    <w:link w:val="23"/>
    <w:qFormat/>
    <w:pPr>
      <w:widowControl/>
      <w:spacing w:before="0" w:after="0"/>
      <w:ind w:hanging="0" w:left="0" w:right="0"/>
    </w:pPr>
    <w:rPr/>
  </w:style>
  <w:style w:type="paragraph" w:styleId="ListBullet3">
    <w:name w:val="List Bullet 3"/>
    <w:basedOn w:val="List"/>
    <w:pPr>
      <w:widowControl/>
      <w:spacing w:before="0" w:after="0"/>
      <w:ind w:hanging="0" w:left="0" w:right="0"/>
    </w:pPr>
    <w:rPr/>
  </w:style>
  <w:style w:type="paragraph" w:styleId="ListNumber5">
    <w:name w:val="List Number 5"/>
    <w:basedOn w:val="List"/>
    <w:pPr>
      <w:widowControl/>
      <w:spacing w:before="0" w:after="0"/>
      <w:ind w:hanging="0" w:left="0" w:right="0"/>
    </w:pPr>
    <w:rPr/>
  </w:style>
  <w:style w:type="paragraph" w:styleId="Index31">
    <w:name w:val="index 31"/>
    <w:basedOn w:val="112"/>
    <w:link w:val="Index3"/>
    <w:qFormat/>
    <w:pPr>
      <w:widowControl/>
      <w:ind w:hanging="0" w:left="0" w:right="0"/>
    </w:pPr>
    <w:rPr/>
  </w:style>
  <w:style w:type="paragraph" w:styleId="128">
    <w:name w:val="Содержимое врезки1"/>
    <w:basedOn w:val="Normal"/>
    <w:link w:val="Style21"/>
    <w:qFormat/>
    <w:pPr/>
    <w:rPr/>
  </w:style>
  <w:style w:type="paragraph" w:styleId="EndnoteSymbol">
    <w:name w:val="Endnote Symbol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312">
    <w:name w:val="Нумерованный 3 прод.1"/>
    <w:basedOn w:val="List"/>
    <w:link w:val="31"/>
    <w:qFormat/>
    <w:pPr>
      <w:widowControl/>
      <w:spacing w:before="0" w:after="0"/>
      <w:ind w:hanging="0" w:left="0" w:right="0"/>
    </w:pPr>
    <w:rPr/>
  </w:style>
  <w:style w:type="paragraph" w:styleId="313">
    <w:name w:val="Список 3 начало1"/>
    <w:basedOn w:val="List"/>
    <w:next w:val="ListBullet3"/>
    <w:link w:val="32"/>
    <w:qFormat/>
    <w:pPr>
      <w:widowControl/>
      <w:spacing w:before="0" w:after="0"/>
      <w:ind w:hanging="0" w:left="0" w:right="0"/>
    </w:pPr>
    <w:rPr/>
  </w:style>
  <w:style w:type="paragraph" w:styleId="91">
    <w:name w:val="Указатель пользователя 91"/>
    <w:basedOn w:val="112"/>
    <w:link w:val="9"/>
    <w:qFormat/>
    <w:pPr>
      <w:widowControl/>
      <w:tabs>
        <w:tab w:val="clear" w:pos="709"/>
        <w:tab w:val="right" w:pos="7374" w:leader="dot"/>
      </w:tabs>
      <w:ind w:hanging="0" w:left="0" w:right="0"/>
    </w:pPr>
    <w:rPr/>
  </w:style>
  <w:style w:type="paragraph" w:styleId="TOC3">
    <w:name w:val="TOC 3"/>
    <w:basedOn w:val="112"/>
    <w:uiPriority w:val="39"/>
    <w:pPr>
      <w:widowControl/>
      <w:tabs>
        <w:tab w:val="clear" w:pos="709"/>
        <w:tab w:val="right" w:pos="9072" w:leader="dot"/>
      </w:tabs>
      <w:ind w:hanging="0" w:left="0" w:right="0"/>
    </w:pPr>
    <w:rPr/>
  </w:style>
  <w:style w:type="paragraph" w:styleId="StrongEmphasis">
    <w:name w:val="Strong Emphasis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314">
    <w:name w:val="Нумерованный 3 конец1"/>
    <w:basedOn w:val="List"/>
    <w:next w:val="ListNumber3"/>
    <w:link w:val="33"/>
    <w:qFormat/>
    <w:pPr>
      <w:widowControl/>
      <w:spacing w:before="0" w:after="0"/>
      <w:ind w:hanging="0" w:left="0" w:right="0"/>
    </w:pPr>
    <w:rPr/>
  </w:style>
  <w:style w:type="paragraph" w:styleId="Pagenumber1">
    <w:name w:val="page number1"/>
    <w:link w:val="Pagenumb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13">
    <w:name w:val="Указатель пользователя 11"/>
    <w:basedOn w:val="112"/>
    <w:link w:val="14"/>
    <w:qFormat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129">
    <w:name w:val="Заполнитель1"/>
    <w:link w:val="Style22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smallCaps/>
      <w:color w:val="008080"/>
      <w:spacing w:val="0"/>
      <w:kern w:val="0"/>
      <w:sz w:val="24"/>
      <w:szCs w:val="20"/>
      <w:u w:val="dotted"/>
      <w:lang w:val="ru-RU" w:eastAsia="zh-CN" w:bidi="hi-IN"/>
    </w:rPr>
  </w:style>
  <w:style w:type="paragraph" w:styleId="130">
    <w:name w:val="Маркеры1"/>
    <w:link w:val="Style2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OpenSymbol" w:hAnsi="OpenSymbol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Annotationtext1">
    <w:name w:val="annotation text1"/>
    <w:basedOn w:val="BodyText"/>
    <w:link w:val="Annotationtext"/>
    <w:qFormat/>
    <w:pPr>
      <w:widowControl/>
      <w:ind w:hanging="0" w:left="0" w:right="0"/>
    </w:pPr>
    <w:rPr/>
  </w:style>
  <w:style w:type="paragraph" w:styleId="131">
    <w:name w:val="Символ сноски1"/>
    <w:link w:val="Style1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vertAlign w:val="superscript"/>
      <w:lang w:val="ru-RU" w:eastAsia="zh-CN" w:bidi="hi-IN"/>
    </w:rPr>
  </w:style>
  <w:style w:type="paragraph" w:styleId="132">
    <w:name w:val="Гриф_Экземпляр1"/>
    <w:basedOn w:val="Normal"/>
    <w:link w:val="Style25"/>
    <w:qFormat/>
    <w:pPr>
      <w:widowControl/>
      <w:ind w:hanging="0" w:left="0" w:right="0"/>
    </w:pPr>
    <w:rPr>
      <w:sz w:val="24"/>
    </w:rPr>
  </w:style>
  <w:style w:type="paragraph" w:styleId="133">
    <w:name w:val="Символ нумерации1"/>
    <w:link w:val="Style2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34">
    <w:name w:val="Фуригана1"/>
    <w:link w:val="Style2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12"/>
      <w:szCs w:val="20"/>
      <w:u w:val="none"/>
      <w:lang w:val="ru-RU" w:eastAsia="zh-CN" w:bidi="hi-IN"/>
    </w:rPr>
  </w:style>
  <w:style w:type="paragraph" w:styleId="26">
    <w:name w:val="Колонтитул2"/>
    <w:basedOn w:val="Normal"/>
    <w:qFormat/>
    <w:pPr/>
    <w:rPr/>
  </w:style>
  <w:style w:type="paragraph" w:styleId="Header">
    <w:name w:val="Head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135">
    <w:name w:val="Верхний колонтитул справа1"/>
    <w:basedOn w:val="Normal"/>
    <w:link w:val="Style28"/>
    <w:qFormat/>
    <w:pPr>
      <w:widowControl/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136">
    <w:name w:val="Буквица1"/>
    <w:link w:val="Style29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37">
    <w:name w:val="Ввод пользователя1"/>
    <w:link w:val="Style30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215">
    <w:name w:val="Список 2 начало1"/>
    <w:basedOn w:val="List"/>
    <w:next w:val="ListBullet2"/>
    <w:link w:val="24"/>
    <w:qFormat/>
    <w:pPr>
      <w:widowControl/>
      <w:spacing w:before="0" w:after="0"/>
      <w:ind w:hanging="0" w:left="0" w:right="0"/>
    </w:pPr>
    <w:rPr/>
  </w:style>
  <w:style w:type="paragraph" w:styleId="138">
    <w:name w:val="Ссылка указателя1"/>
    <w:link w:val="Style31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39">
    <w:name w:val="Обратный отступ1"/>
    <w:basedOn w:val="BodyText"/>
    <w:link w:val="Style32"/>
    <w:qFormat/>
    <w:pPr>
      <w:widowControl/>
      <w:tabs>
        <w:tab w:val="clear" w:pos="709"/>
        <w:tab w:val="left" w:pos="0" w:leader="none"/>
      </w:tabs>
      <w:ind w:hanging="0" w:left="0" w:right="0"/>
    </w:pPr>
    <w:rPr/>
  </w:style>
  <w:style w:type="paragraph" w:styleId="ListContinue2">
    <w:name w:val="List Continue 2"/>
    <w:basedOn w:val="List"/>
    <w:pPr>
      <w:widowControl/>
      <w:spacing w:before="0" w:after="0"/>
      <w:ind w:hanging="0" w:left="0" w:right="0"/>
    </w:pPr>
    <w:rPr/>
  </w:style>
  <w:style w:type="paragraph" w:styleId="Internetlink">
    <w:name w:val="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80"/>
      <w:spacing w:val="0"/>
      <w:kern w:val="0"/>
      <w:sz w:val="24"/>
      <w:szCs w:val="20"/>
      <w:u w:val="single"/>
      <w:lang w:val="ru-RU" w:eastAsia="zh-CN" w:bidi="hi-IN"/>
    </w:rPr>
  </w:style>
  <w:style w:type="paragraph" w:styleId="Footnote1">
    <w:name w:val="Footnote1"/>
    <w:basedOn w:val="Normal"/>
    <w:link w:val="Footnote"/>
    <w:qFormat/>
    <w:pPr>
      <w:widowControl/>
      <w:ind w:hanging="0" w:left="0" w:right="0"/>
      <w:jc w:val="left"/>
    </w:pPr>
    <w:rPr>
      <w:sz w:val="28"/>
    </w:rPr>
  </w:style>
  <w:style w:type="paragraph" w:styleId="140">
    <w:name w:val="Текст1"/>
    <w:basedOn w:val="Caption2"/>
    <w:link w:val="Style33"/>
    <w:qFormat/>
    <w:pPr/>
    <w:rPr/>
  </w:style>
  <w:style w:type="paragraph" w:styleId="1114">
    <w:name w:val="Список 1 конец1"/>
    <w:basedOn w:val="List"/>
    <w:next w:val="ListBullet"/>
    <w:link w:val="15"/>
    <w:qFormat/>
    <w:pPr>
      <w:widowControl/>
      <w:spacing w:before="0" w:after="0"/>
      <w:ind w:hanging="0" w:left="0" w:right="0"/>
    </w:pPr>
    <w:rPr/>
  </w:style>
  <w:style w:type="paragraph" w:styleId="141">
    <w:name w:val="Непропорциональный текст1"/>
    <w:link w:val="Style34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ListContinue3">
    <w:name w:val="List Continue 3"/>
    <w:basedOn w:val="List"/>
    <w:pPr>
      <w:widowControl/>
      <w:spacing w:before="0" w:after="0"/>
      <w:ind w:hanging="0" w:left="0" w:right="0"/>
    </w:pPr>
    <w:rPr/>
  </w:style>
  <w:style w:type="paragraph" w:styleId="142">
    <w:name w:val="Переменная1"/>
    <w:link w:val="Style35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OC1">
    <w:name w:val="TOC 1"/>
    <w:basedOn w:val="112"/>
    <w:uiPriority w:val="39"/>
    <w:pPr>
      <w:widowControl/>
      <w:tabs>
        <w:tab w:val="clear" w:pos="709"/>
        <w:tab w:val="right" w:pos="9638" w:leader="dot"/>
      </w:tabs>
      <w:ind w:hanging="0" w:left="0" w:right="0"/>
    </w:pPr>
    <w:rPr/>
  </w:style>
  <w:style w:type="paragraph" w:styleId="61">
    <w:name w:val="Указатель пользователя 61"/>
    <w:basedOn w:val="112"/>
    <w:link w:val="6"/>
    <w:qFormat/>
    <w:pPr>
      <w:widowControl/>
      <w:tabs>
        <w:tab w:val="clear" w:pos="709"/>
        <w:tab w:val="right" w:pos="8223" w:leader="dot"/>
      </w:tabs>
      <w:ind w:hanging="0" w:left="0" w:right="0"/>
    </w:pPr>
    <w:rPr/>
  </w:style>
  <w:style w:type="paragraph" w:styleId="ListBullet2">
    <w:name w:val="List Bullet 2"/>
    <w:basedOn w:val="List"/>
    <w:pPr>
      <w:widowControl/>
      <w:spacing w:before="0" w:after="0"/>
      <w:ind w:hanging="0" w:left="0" w:right="0"/>
    </w:pPr>
    <w:rPr/>
  </w:style>
  <w:style w:type="paragraph" w:styleId="143">
    <w:name w:val="Пример1"/>
    <w:link w:val="Style36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414">
    <w:name w:val="Нумерованный 4 конец1"/>
    <w:basedOn w:val="List"/>
    <w:next w:val="ListNumber4"/>
    <w:link w:val="43"/>
    <w:qFormat/>
    <w:pPr>
      <w:widowControl/>
      <w:spacing w:before="0" w:after="0"/>
      <w:ind w:hanging="0" w:left="0" w:right="0"/>
    </w:pPr>
    <w:rPr/>
  </w:style>
  <w:style w:type="paragraph" w:styleId="1012">
    <w:name w:val="Оглавление 101"/>
    <w:basedOn w:val="112"/>
    <w:link w:val="101"/>
    <w:qFormat/>
    <w:pPr>
      <w:widowControl/>
      <w:tabs>
        <w:tab w:val="clear" w:pos="709"/>
        <w:tab w:val="right" w:pos="7091" w:leader="dot"/>
      </w:tabs>
      <w:ind w:hanging="0" w:left="0" w:right="0"/>
    </w:pPr>
    <w:rPr/>
  </w:style>
  <w:style w:type="paragraph" w:styleId="415">
    <w:name w:val="Нумерованный 4 прод.1"/>
    <w:basedOn w:val="List"/>
    <w:link w:val="44"/>
    <w:qFormat/>
    <w:pPr>
      <w:widowControl/>
      <w:spacing w:before="0" w:after="0"/>
      <w:ind w:hanging="0" w:left="0" w:right="0"/>
    </w:pPr>
    <w:rPr/>
  </w:style>
  <w:style w:type="paragraph" w:styleId="Envelopeaddress1">
    <w:name w:val="envelope address1"/>
    <w:basedOn w:val="Normal"/>
    <w:link w:val="Envelopeaddress"/>
    <w:qFormat/>
    <w:pPr>
      <w:widowControl/>
      <w:spacing w:before="0" w:after="0"/>
    </w:pPr>
    <w:rPr/>
  </w:style>
  <w:style w:type="paragraph" w:styleId="ListBullet4">
    <w:name w:val="List Bullet 4"/>
    <w:basedOn w:val="List"/>
    <w:pPr>
      <w:widowControl/>
      <w:spacing w:before="0" w:after="0"/>
      <w:ind w:hanging="0" w:left="0" w:right="0"/>
    </w:pPr>
    <w:rPr/>
  </w:style>
  <w:style w:type="paragraph" w:styleId="216">
    <w:name w:val="Нумерованный 2 конец1"/>
    <w:basedOn w:val="List"/>
    <w:next w:val="ListNumber2"/>
    <w:link w:val="25"/>
    <w:qFormat/>
    <w:pPr>
      <w:widowControl/>
      <w:spacing w:before="0" w:after="0"/>
      <w:ind w:hanging="0" w:left="0" w:right="0"/>
    </w:pPr>
    <w:rPr/>
  </w:style>
  <w:style w:type="paragraph" w:styleId="TOC9">
    <w:name w:val="TOC 9"/>
    <w:basedOn w:val="112"/>
    <w:uiPriority w:val="39"/>
    <w:pPr>
      <w:widowControl/>
      <w:tabs>
        <w:tab w:val="clear" w:pos="709"/>
        <w:tab w:val="right" w:pos="7374" w:leader="dot"/>
      </w:tabs>
      <w:ind w:hanging="0" w:left="0" w:right="0"/>
    </w:pPr>
    <w:rPr/>
  </w:style>
  <w:style w:type="paragraph" w:styleId="144">
    <w:name w:val="Основной элемент указателя1"/>
    <w:link w:val="Style37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145">
    <w:name w:val="Верхний колонтитул слева1"/>
    <w:basedOn w:val="Normal"/>
    <w:link w:val="Style38"/>
    <w:qFormat/>
    <w:pPr>
      <w:widowControl/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146">
    <w:name w:val="Заголовок списка иллюстраций1"/>
    <w:basedOn w:val="111"/>
    <w:link w:val="Style39"/>
    <w:qFormat/>
    <w:pPr>
      <w:widowControl/>
      <w:ind w:hanging="0" w:left="0" w:right="0"/>
      <w:jc w:val="center"/>
    </w:pPr>
    <w:rPr/>
  </w:style>
  <w:style w:type="paragraph" w:styleId="TOC8">
    <w:name w:val="TOC 8"/>
    <w:basedOn w:val="112"/>
    <w:uiPriority w:val="39"/>
    <w:pPr>
      <w:widowControl/>
      <w:tabs>
        <w:tab w:val="clear" w:pos="709"/>
        <w:tab w:val="right" w:pos="7657" w:leader="dot"/>
      </w:tabs>
      <w:ind w:hanging="0" w:left="0" w:right="0"/>
    </w:pPr>
    <w:rPr/>
  </w:style>
  <w:style w:type="paragraph" w:styleId="315">
    <w:name w:val="Нумерованный 3 начало1"/>
    <w:basedOn w:val="List"/>
    <w:next w:val="ListNumber3"/>
    <w:link w:val="34"/>
    <w:qFormat/>
    <w:pPr>
      <w:widowControl/>
      <w:spacing w:before="0" w:after="0"/>
      <w:ind w:hanging="0" w:left="0" w:right="0"/>
    </w:pPr>
    <w:rPr/>
  </w:style>
  <w:style w:type="paragraph" w:styleId="147">
    <w:name w:val="Иллюстрация1"/>
    <w:basedOn w:val="Caption2"/>
    <w:link w:val="Style40"/>
    <w:qFormat/>
    <w:pPr/>
    <w:rPr/>
  </w:style>
  <w:style w:type="paragraph" w:styleId="512">
    <w:name w:val="Список 5 конец1"/>
    <w:basedOn w:val="List"/>
    <w:next w:val="ListBullet5"/>
    <w:link w:val="51"/>
    <w:qFormat/>
    <w:pPr>
      <w:widowControl/>
      <w:spacing w:before="0" w:after="0"/>
      <w:ind w:hanging="0" w:left="0" w:right="0"/>
    </w:pPr>
    <w:rPr/>
  </w:style>
  <w:style w:type="paragraph" w:styleId="513">
    <w:name w:val="Нумерованный 5 прод.1"/>
    <w:basedOn w:val="List"/>
    <w:link w:val="52"/>
    <w:qFormat/>
    <w:pPr>
      <w:widowControl/>
      <w:spacing w:before="0" w:after="0"/>
      <w:ind w:hanging="0" w:left="0" w:right="0"/>
    </w:pPr>
    <w:rPr/>
  </w:style>
  <w:style w:type="paragraph" w:styleId="81">
    <w:name w:val="Указатель пользователя 81"/>
    <w:basedOn w:val="112"/>
    <w:link w:val="8"/>
    <w:qFormat/>
    <w:pPr>
      <w:widowControl/>
      <w:tabs>
        <w:tab w:val="clear" w:pos="709"/>
        <w:tab w:val="right" w:pos="7657" w:leader="dot"/>
      </w:tabs>
      <w:ind w:hanging="0" w:left="0" w:right="0"/>
    </w:pPr>
    <w:rPr/>
  </w:style>
  <w:style w:type="paragraph" w:styleId="Footer">
    <w:name w:val="Footer"/>
    <w:basedOn w:val="Normal"/>
    <w:pPr>
      <w:widowControl/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148">
    <w:name w:val="Нижний колонтитул справа1"/>
    <w:basedOn w:val="Normal"/>
    <w:link w:val="Style41"/>
    <w:qFormat/>
    <w:pPr>
      <w:widowControl/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ListBullet5">
    <w:name w:val="List Bullet 5"/>
    <w:basedOn w:val="List"/>
    <w:pPr>
      <w:widowControl/>
      <w:spacing w:before="0" w:after="0"/>
      <w:ind w:hanging="0" w:left="0" w:right="0"/>
    </w:pPr>
    <w:rPr/>
  </w:style>
  <w:style w:type="paragraph" w:styleId="149">
    <w:name w:val="Рисунок1"/>
    <w:basedOn w:val="Caption2"/>
    <w:link w:val="Style42"/>
    <w:qFormat/>
    <w:pPr/>
    <w:rPr/>
  </w:style>
  <w:style w:type="paragraph" w:styleId="416">
    <w:name w:val="Список 4 конец1"/>
    <w:basedOn w:val="List"/>
    <w:next w:val="ListBullet4"/>
    <w:link w:val="45"/>
    <w:qFormat/>
    <w:pPr>
      <w:widowControl/>
      <w:spacing w:before="0" w:after="0"/>
      <w:ind w:hanging="0" w:left="0" w:right="0"/>
    </w:pPr>
    <w:rPr/>
  </w:style>
  <w:style w:type="paragraph" w:styleId="1115">
    <w:name w:val="Нумерованный 1 конец1"/>
    <w:basedOn w:val="List"/>
    <w:next w:val="ListNumber"/>
    <w:link w:val="16"/>
    <w:qFormat/>
    <w:pPr>
      <w:widowControl/>
      <w:spacing w:before="0" w:after="0"/>
      <w:ind w:hanging="0" w:left="0" w:right="0"/>
    </w:pPr>
    <w:rPr/>
  </w:style>
  <w:style w:type="paragraph" w:styleId="150">
    <w:name w:val="Исходный текст1"/>
    <w:link w:val="Style43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Mono" w:hAnsi="Liberation Mono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116">
    <w:name w:val="Список 1 начало1"/>
    <w:basedOn w:val="List"/>
    <w:next w:val="ListBullet"/>
    <w:link w:val="17"/>
    <w:qFormat/>
    <w:pPr>
      <w:widowControl/>
      <w:spacing w:before="0" w:after="0"/>
      <w:ind w:hanging="0" w:left="0" w:right="0"/>
    </w:pPr>
    <w:rPr/>
  </w:style>
  <w:style w:type="paragraph" w:styleId="TOC5">
    <w:name w:val="TOC 5"/>
    <w:basedOn w:val="112"/>
    <w:uiPriority w:val="39"/>
    <w:pPr>
      <w:widowControl/>
      <w:tabs>
        <w:tab w:val="clear" w:pos="709"/>
        <w:tab w:val="right" w:pos="8506" w:leader="dot"/>
      </w:tabs>
      <w:ind w:hanging="0" w:left="0" w:right="0"/>
    </w:pPr>
    <w:rPr/>
  </w:style>
  <w:style w:type="paragraph" w:styleId="151">
    <w:name w:val="Нижний колонтитул слева1"/>
    <w:basedOn w:val="Normal"/>
    <w:link w:val="Style44"/>
    <w:qFormat/>
    <w:pPr>
      <w:widowControl/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Linenumber1">
    <w:name w:val="line number1"/>
    <w:link w:val="Linenumber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000000"/>
      <w:spacing w:val="0"/>
      <w:kern w:val="0"/>
      <w:sz w:val="24"/>
      <w:szCs w:val="20"/>
      <w:lang w:val="ru-RU" w:eastAsia="zh-CN" w:bidi="hi-IN"/>
    </w:rPr>
  </w:style>
  <w:style w:type="paragraph" w:styleId="1013">
    <w:name w:val="Заголовок 101"/>
    <w:basedOn w:val="111"/>
    <w:next w:val="BodyText"/>
    <w:link w:val="102"/>
    <w:qFormat/>
    <w:pPr>
      <w:widowControl/>
      <w:numPr>
        <w:ilvl w:val="0"/>
        <w:numId w:val="0"/>
      </w:numPr>
      <w:spacing w:before="0" w:after="0"/>
      <w:ind w:hanging="0" w:left="0"/>
    </w:pPr>
    <w:rPr/>
  </w:style>
  <w:style w:type="paragraph" w:styleId="316">
    <w:name w:val="Список 3 конец1"/>
    <w:basedOn w:val="List"/>
    <w:next w:val="ListBullet3"/>
    <w:link w:val="35"/>
    <w:qFormat/>
    <w:pPr>
      <w:widowControl/>
      <w:spacing w:before="0" w:after="0"/>
      <w:ind w:hanging="0" w:left="0" w:right="0"/>
    </w:pPr>
    <w:rPr/>
  </w:style>
  <w:style w:type="paragraph" w:styleId="152">
    <w:name w:val="Заголовок списка таблиц1"/>
    <w:basedOn w:val="111"/>
    <w:link w:val="Style45"/>
    <w:qFormat/>
    <w:pPr>
      <w:widowControl/>
      <w:ind w:hanging="0" w:left="0" w:right="0"/>
    </w:pPr>
    <w:rPr/>
  </w:style>
  <w:style w:type="paragraph" w:styleId="VisitedInternetLink">
    <w:name w:val="Visited Internet Link"/>
    <w:qFormat/>
    <w:pPr>
      <w:widowControl/>
      <w:suppressAutoHyphens w:val="true"/>
      <w:bidi w:val="0"/>
      <w:spacing w:lineRule="auto" w:line="240" w:before="0" w:after="0"/>
      <w:ind w:hanging="0" w:left="0" w:right="0"/>
      <w:jc w:val="left"/>
    </w:pPr>
    <w:rPr>
      <w:rFonts w:ascii="Liberation Serif" w:hAnsi="Liberation Serif" w:eastAsia="Tahoma" w:cs="Noto Sans Devanagari"/>
      <w:color w:val="800000"/>
      <w:spacing w:val="0"/>
      <w:kern w:val="0"/>
      <w:sz w:val="24"/>
      <w:szCs w:val="20"/>
      <w:u w:val="single"/>
      <w:lang w:val="ru-RU" w:eastAsia="zh-CN" w:bidi="hi-IN"/>
    </w:rPr>
  </w:style>
  <w:style w:type="paragraph" w:styleId="153">
    <w:name w:val="Горизонтальная линия1"/>
    <w:basedOn w:val="Normal"/>
    <w:next w:val="BodyText"/>
    <w:link w:val="Style46"/>
    <w:qFormat/>
    <w:pPr>
      <w:widowControl/>
      <w:pBdr>
        <w:bottom w:val="single" w:sz="8" w:space="0" w:color="000000"/>
      </w:pBdr>
      <w:spacing w:before="0" w:after="0"/>
    </w:pPr>
    <w:rPr>
      <w:sz w:val="4"/>
    </w:rPr>
  </w:style>
  <w:style w:type="paragraph" w:styleId="514">
    <w:name w:val="Нумерованный 5 начало1"/>
    <w:basedOn w:val="List"/>
    <w:next w:val="ListNumber5"/>
    <w:link w:val="53"/>
    <w:qFormat/>
    <w:pPr>
      <w:widowControl/>
      <w:spacing w:before="0" w:after="0"/>
      <w:ind w:hanging="0" w:left="0" w:right="0"/>
    </w:pPr>
    <w:rPr/>
  </w:style>
  <w:style w:type="paragraph" w:styleId="Subtitle">
    <w:name w:val="Subtitle"/>
    <w:basedOn w:val="Normal"/>
    <w:next w:val="BodyTextFirstIndent"/>
    <w:uiPriority w:val="11"/>
    <w:qFormat/>
    <w:pPr>
      <w:widowControl/>
      <w:spacing w:before="0" w:after="0"/>
      <w:ind w:hanging="0" w:left="709" w:right="0"/>
      <w:jc w:val="both"/>
    </w:pPr>
    <w:rPr>
      <w:b/>
    </w:rPr>
  </w:style>
  <w:style w:type="paragraph" w:styleId="TOCHeading">
    <w:name w:val="TOC Heading"/>
    <w:basedOn w:val="111"/>
    <w:next w:val="TOC1"/>
    <w:qFormat/>
    <w:pPr>
      <w:widowControl/>
      <w:ind w:hanging="0" w:left="0" w:right="0"/>
    </w:pPr>
    <w:rPr/>
  </w:style>
  <w:style w:type="paragraph" w:styleId="BodyTextFirstIndent">
    <w:name w:val="Body Text First Indent"/>
    <w:basedOn w:val="Normal"/>
    <w:pPr>
      <w:widowControl/>
      <w:ind w:firstLine="709" w:left="0" w:right="0"/>
      <w:jc w:val="both"/>
    </w:pPr>
    <w:rPr/>
  </w:style>
  <w:style w:type="paragraph" w:styleId="Title">
    <w:name w:val="Title"/>
    <w:basedOn w:val="Normal"/>
    <w:next w:val="BodyTextFirstIndent"/>
    <w:uiPriority w:val="10"/>
    <w:qFormat/>
    <w:pPr>
      <w:widowControl/>
      <w:spacing w:before="0" w:after="170"/>
    </w:pPr>
    <w:rPr>
      <w:b/>
    </w:rPr>
  </w:style>
  <w:style w:type="paragraph" w:styleId="Caption2">
    <w:name w:val="caption2"/>
    <w:basedOn w:val="Normal"/>
    <w:link w:val="Caption1"/>
    <w:qFormat/>
    <w:pPr>
      <w:widowControl/>
      <w:spacing w:before="0" w:after="0"/>
    </w:pPr>
    <w:rPr>
      <w:i w:val="false"/>
      <w:sz w:val="28"/>
    </w:rPr>
  </w:style>
  <w:style w:type="paragraph" w:styleId="1117">
    <w:name w:val="Нумерованный 1 начало1"/>
    <w:basedOn w:val="List"/>
    <w:next w:val="ListNumber"/>
    <w:link w:val="18"/>
    <w:qFormat/>
    <w:pPr>
      <w:widowControl/>
      <w:spacing w:before="0" w:after="0"/>
      <w:ind w:hanging="0" w:left="0" w:right="0"/>
    </w:pPr>
    <w:rPr/>
  </w:style>
  <w:style w:type="paragraph" w:styleId="ListNumber2">
    <w:name w:val="List Number 2"/>
    <w:basedOn w:val="List"/>
    <w:pPr>
      <w:widowControl/>
      <w:spacing w:before="0" w:after="0"/>
      <w:ind w:hanging="0" w:left="0" w:right="0"/>
    </w:pPr>
    <w:rPr/>
  </w:style>
  <w:style w:type="paragraph" w:styleId="154">
    <w:name w:val="Отступы1"/>
    <w:basedOn w:val="BodyText"/>
    <w:link w:val="Style47"/>
    <w:qFormat/>
    <w:pPr>
      <w:widowControl/>
      <w:tabs>
        <w:tab w:val="clear" w:pos="709"/>
        <w:tab w:val="left" w:pos="0" w:leader="none"/>
      </w:tabs>
      <w:ind w:hanging="0" w:left="0" w:right="0"/>
    </w:pPr>
    <w:rPr/>
  </w:style>
  <w:style w:type="paragraph" w:styleId="ListBullet">
    <w:name w:val="List Bullet"/>
    <w:basedOn w:val="List"/>
    <w:pPr>
      <w:widowControl/>
      <w:numPr>
        <w:ilvl w:val="0"/>
        <w:numId w:val="4"/>
      </w:numPr>
      <w:spacing w:before="0" w:after="0"/>
    </w:pPr>
    <w:rPr/>
  </w:style>
  <w:style w:type="paragraph" w:styleId="515">
    <w:name w:val="Нумерованный 5 конец1"/>
    <w:basedOn w:val="List"/>
    <w:next w:val="ListNumber5"/>
    <w:link w:val="54"/>
    <w:qFormat/>
    <w:pPr>
      <w:widowControl/>
      <w:spacing w:before="0" w:after="0"/>
      <w:ind w:hanging="0" w:left="0" w:right="0"/>
    </w:pPr>
    <w:rPr/>
  </w:style>
  <w:style w:type="paragraph" w:styleId="155">
    <w:name w:val="Исполнитель документа1"/>
    <w:basedOn w:val="Normal"/>
    <w:link w:val="Style48"/>
    <w:qFormat/>
    <w:pPr>
      <w:widowControl/>
      <w:jc w:val="left"/>
    </w:pPr>
    <w:rPr>
      <w:sz w:val="24"/>
    </w:rPr>
  </w:style>
  <w:style w:type="paragraph" w:styleId="516">
    <w:name w:val="Список 5 начало1"/>
    <w:basedOn w:val="List"/>
    <w:next w:val="ListBullet5"/>
    <w:link w:val="55"/>
    <w:qFormat/>
    <w:pPr>
      <w:widowControl/>
      <w:spacing w:before="0" w:after="0"/>
      <w:ind w:hanging="0" w:left="0" w:right="0"/>
    </w:pPr>
    <w:rPr/>
  </w:style>
  <w:style w:type="paragraph" w:styleId="156">
    <w:name w:val="Заголовок списка1"/>
    <w:basedOn w:val="Normal"/>
    <w:next w:val="126"/>
    <w:link w:val="Style49"/>
    <w:qFormat/>
    <w:pPr>
      <w:widowControl/>
      <w:ind w:hanging="0" w:left="0" w:right="0"/>
    </w:pPr>
    <w:rPr/>
  </w:style>
  <w:style w:type="paragraph" w:styleId="71">
    <w:name w:val="Указатель пользователя 71"/>
    <w:basedOn w:val="112"/>
    <w:link w:val="7"/>
    <w:qFormat/>
    <w:pPr>
      <w:widowControl/>
      <w:tabs>
        <w:tab w:val="clear" w:pos="709"/>
        <w:tab w:val="right" w:pos="7940" w:leader="dot"/>
      </w:tabs>
      <w:ind w:hanging="0" w:left="0" w:right="0"/>
    </w:pPr>
    <w:rPr/>
  </w:style>
  <w:style w:type="paragraph" w:styleId="157">
    <w:name w:val="Разделитель предметного указателя1"/>
    <w:basedOn w:val="112"/>
    <w:link w:val="Style50"/>
    <w:qFormat/>
    <w:pPr>
      <w:widowControl/>
      <w:ind w:hanging="0" w:left="0" w:right="0"/>
    </w:pPr>
    <w:rPr/>
  </w:style>
  <w:style w:type="paragraph" w:styleId="FootnoteText">
    <w:name w:val="Foot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Arial" pitchFamily="0" charset="1"/>
        <a:ea typeface=""/>
        <a:cs typeface="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>
          <a:prstDash val="solid"/>
        </a:ln>
        <a:ln w="6350">
          <a:prstDash val="solid"/>
        </a:ln>
        <a:ln w="63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LibreOffice/7.6.7.2$Linux_X86_64 LibreOffice_project/60$Build-2</Application>
  <AppVersion>15.0000</AppVersion>
  <Pages>33</Pages>
  <Words>9393</Words>
  <Characters>69494</Characters>
  <CharactersWithSpaces>78550</CharactersWithSpaces>
  <Paragraphs>762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2025-12-16T09:34:12Z</dcterms:created>
  <dc:creator/>
  <dc:description/>
  <dc:language>ru-RU</dc:language>
  <cp:lastModifiedBy/>
  <dcterms:modified xsi:type="dcterms:W3CDTF">2025-12-18T16:01:43Z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