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69" w:before="269"/>
        <w:ind w:firstLine="0" w:left="0" w:right="0"/>
        <w:jc w:val="center"/>
        <w:rPr>
          <w:sz w:val="28"/>
        </w:rPr>
      </w:pPr>
      <w:r>
        <w:rPr>
          <w:b w:val="1"/>
          <w:sz w:val="28"/>
        </w:rPr>
        <w:t>Рекомендации по заполнению информации об услуге:</w:t>
      </w:r>
    </w:p>
    <w:p w14:paraId="02000000">
      <w:pPr>
        <w:widowControl w:val="1"/>
        <w:numPr>
          <w:numId w:val="1"/>
        </w:numPr>
        <w:spacing w:after="269" w:before="269"/>
        <w:ind w:right="0"/>
        <w:rPr>
          <w:sz w:val="28"/>
        </w:rPr>
      </w:pPr>
      <w:r>
        <w:rPr>
          <w:b w:val="1"/>
          <w:sz w:val="28"/>
        </w:rPr>
        <w:t>Наименование услуги:</w:t>
      </w:r>
      <w:r>
        <w:rPr>
          <w:sz w:val="28"/>
        </w:rPr>
        <w:t xml:space="preserve"> полное и сокращенное наименования услуги должны полностью соответствовать </w:t>
      </w:r>
      <w:r>
        <w:rPr>
          <w:b w:val="1"/>
          <w:sz w:val="28"/>
        </w:rPr>
        <w:t>Перечню типовых государственных и муниципальных услуг</w:t>
      </w:r>
      <w:r>
        <w:rPr>
          <w:sz w:val="28"/>
        </w:rPr>
        <w:t xml:space="preserve">, утвержденному распоряжением Правительства РФ от 18.09.2019 № 2113-р. </w:t>
      </w:r>
      <w:r>
        <w:rPr>
          <w:b w:val="1"/>
          <w:sz w:val="28"/>
        </w:rPr>
        <w:t>Убедитесь, что наименования совпадают.</w:t>
      </w:r>
    </w:p>
    <w:p w14:paraId="03000000">
      <w:pPr>
        <w:widowControl w:val="1"/>
        <w:numPr>
          <w:numId w:val="1"/>
        </w:numPr>
        <w:spacing w:after="269" w:before="269"/>
        <w:ind w:right="0"/>
        <w:rPr>
          <w:sz w:val="28"/>
        </w:rPr>
      </w:pPr>
      <w:r>
        <w:rPr>
          <w:b w:val="1"/>
          <w:sz w:val="28"/>
        </w:rPr>
        <w:t>Типовая услуга:</w:t>
      </w:r>
      <w:r>
        <w:rPr>
          <w:sz w:val="28"/>
        </w:rPr>
        <w:t xml:space="preserve"> Если услуга является типовой, обязательно укажите это. </w:t>
      </w:r>
      <w:r>
        <w:rPr>
          <w:sz w:val="28"/>
        </w:rPr>
        <w:t>При выборе услуги из списка, также выберите соответствующую сферу.</w:t>
      </w:r>
    </w:p>
    <w:p w14:paraId="04000000">
      <w:pPr>
        <w:widowControl w:val="1"/>
        <w:numPr>
          <w:numId w:val="1"/>
        </w:numPr>
        <w:spacing w:after="269" w:before="269"/>
        <w:ind w:right="0"/>
        <w:rPr>
          <w:sz w:val="28"/>
        </w:rPr>
      </w:pPr>
      <w:r>
        <w:rPr>
          <w:b w:val="1"/>
          <w:sz w:val="28"/>
        </w:rPr>
        <w:t xml:space="preserve">Нормативно-правовые акты (НПА), устанавливающие полномочия на предоставление услуги: </w:t>
      </w:r>
      <w:r>
        <w:rPr>
          <w:b w:val="1"/>
          <w:sz w:val="28"/>
        </w:rPr>
        <w:t>Формат записи:</w:t>
      </w:r>
      <w:r>
        <w:rPr>
          <w:sz w:val="28"/>
        </w:rPr>
        <w:t xml:space="preserve"> Вид акта, орган, издавший акт, дата, номер, наименование.</w:t>
      </w:r>
      <w:r>
        <w:rPr>
          <w:b w:val="1"/>
          <w:sz w:val="28"/>
        </w:rPr>
        <w:t xml:space="preserve"> Пример:</w:t>
      </w:r>
      <w:r>
        <w:rPr>
          <w:sz w:val="28"/>
        </w:rPr>
        <w:t xml:space="preserve"> Указ Президента Российской Федерации от 21.12.2016 № 699 «Об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Федерации».</w:t>
      </w:r>
      <w:r>
        <w:rPr>
          <w:b w:val="1"/>
          <w:sz w:val="28"/>
        </w:rPr>
        <w:t xml:space="preserve"> Важно:</w:t>
      </w:r>
      <w:r>
        <w:rPr>
          <w:sz w:val="28"/>
        </w:rPr>
        <w:t xml:space="preserve"> В перечне НПА </w:t>
      </w:r>
      <w:r>
        <w:rPr>
          <w:b w:val="1"/>
          <w:sz w:val="28"/>
        </w:rPr>
        <w:t>не указывается</w:t>
      </w:r>
      <w:r>
        <w:rPr>
          <w:sz w:val="28"/>
        </w:rPr>
        <w:t xml:space="preserve"> Федеральный закон от 27.07.2010 № 210-ФЗ «Об организации предоставления государственных и муниципальных услуг». </w:t>
      </w:r>
      <w:r>
        <w:rPr>
          <w:sz w:val="28"/>
        </w:rPr>
        <w:t xml:space="preserve">При создании карточки услуги в блоке «НПА, которыми установлены полномочия на предоставление услуги», указывайте </w:t>
      </w:r>
      <w:r>
        <w:rPr>
          <w:b w:val="1"/>
          <w:sz w:val="28"/>
        </w:rPr>
        <w:t>только те акты, которые непосредственно наделяют ваш орган власти полномочиями на предоставление данной услуги</w:t>
      </w:r>
      <w:r>
        <w:rPr>
          <w:sz w:val="28"/>
        </w:rPr>
        <w:t xml:space="preserve">. Не требуется перечислять все НПА РФ. </w:t>
      </w:r>
      <w:r>
        <w:rPr>
          <w:sz w:val="28"/>
        </w:rPr>
        <w:t xml:space="preserve">Каждый НПА вносится </w:t>
      </w:r>
      <w:r>
        <w:rPr>
          <w:b w:val="1"/>
          <w:sz w:val="28"/>
        </w:rPr>
        <w:t>отдельной записью</w:t>
      </w:r>
      <w:r>
        <w:rPr>
          <w:sz w:val="28"/>
        </w:rPr>
        <w:t xml:space="preserve">. После ввода реквизитов НПА обязательно нажмите </w:t>
      </w:r>
      <w:r>
        <w:rPr>
          <w:b w:val="1"/>
          <w:sz w:val="28"/>
        </w:rPr>
        <w:t>«ENTER»</w:t>
      </w:r>
      <w:r>
        <w:rPr>
          <w:sz w:val="28"/>
        </w:rPr>
        <w:t>.</w:t>
      </w:r>
    </w:p>
    <w:p w14:paraId="05000000">
      <w:pPr>
        <w:widowControl w:val="1"/>
        <w:numPr>
          <w:numId w:val="1"/>
        </w:numPr>
        <w:spacing w:after="269" w:before="269"/>
        <w:ind w:right="0"/>
        <w:rPr>
          <w:sz w:val="28"/>
        </w:rPr>
      </w:pPr>
      <w:r>
        <w:rPr>
          <w:b w:val="1"/>
          <w:sz w:val="28"/>
        </w:rPr>
        <w:t>Общие требования к оформлению:</w:t>
      </w:r>
      <w:r>
        <w:rPr>
          <w:sz w:val="28"/>
        </w:rPr>
        <w:t xml:space="preserve"> При работе используйте </w:t>
      </w:r>
      <w:r>
        <w:rPr>
          <w:b w:val="1"/>
          <w:sz w:val="28"/>
        </w:rPr>
        <w:t>Инструкцию по делопроизводству (110-п)</w:t>
      </w:r>
      <w:r>
        <w:rPr>
          <w:sz w:val="28"/>
        </w:rPr>
        <w:t xml:space="preserve">. </w:t>
      </w:r>
      <w:r>
        <w:rPr>
          <w:sz w:val="28"/>
        </w:rPr>
        <w:t xml:space="preserve">Кавычки оформляются как « ». </w:t>
      </w:r>
      <w:r>
        <w:rPr>
          <w:sz w:val="28"/>
        </w:rPr>
        <w:t xml:space="preserve">Даты указываются в числовом формате (например, 19.09.2014). </w:t>
      </w:r>
      <w:r>
        <w:rPr>
          <w:sz w:val="28"/>
        </w:rPr>
        <w:t>Используется знак «№».</w:t>
      </w:r>
    </w:p>
    <w:p w14:paraId="06000000">
      <w:pPr>
        <w:widowControl w:val="1"/>
        <w:numPr>
          <w:numId w:val="1"/>
        </w:numPr>
        <w:spacing w:after="269" w:before="269"/>
        <w:ind w:right="0"/>
        <w:rPr>
          <w:sz w:val="28"/>
        </w:rPr>
      </w:pPr>
      <w:r>
        <w:rPr>
          <w:b w:val="1"/>
          <w:sz w:val="28"/>
        </w:rPr>
        <w:t>Внутриведомственное согласование:</w:t>
      </w:r>
      <w:r>
        <w:rPr>
          <w:sz w:val="28"/>
        </w:rPr>
        <w:t xml:space="preserve"> Просим вас </w:t>
      </w:r>
      <w:r>
        <w:rPr>
          <w:b w:val="1"/>
          <w:sz w:val="28"/>
        </w:rPr>
        <w:t>качественно проходить внутриведомственное согласование</w:t>
      </w:r>
      <w:r>
        <w:rPr>
          <w:sz w:val="28"/>
        </w:rPr>
        <w:t xml:space="preserve">. </w:t>
      </w:r>
      <w:r>
        <w:rPr>
          <w:sz w:val="28"/>
        </w:rPr>
        <w:t xml:space="preserve">Перед направлением карточки услуги в уполномоченный орган, она должна быть </w:t>
      </w:r>
      <w:r>
        <w:rPr>
          <w:b w:val="1"/>
          <w:sz w:val="28"/>
        </w:rPr>
        <w:t>согласована руководителями соответствующих структурных подразделений</w:t>
      </w:r>
      <w:r>
        <w:rPr>
          <w:sz w:val="28"/>
        </w:rPr>
        <w:t>.</w:t>
      </w:r>
    </w:p>
    <w:p w14:paraId="07000000">
      <w:pPr>
        <w:widowControl w:val="1"/>
        <w:spacing w:after="269" w:before="269"/>
        <w:ind w:firstLine="0" w:left="0" w:right="0"/>
        <w:rPr>
          <w:sz w:val="28"/>
        </w:rPr>
      </w:pPr>
      <w:r>
        <w:rPr>
          <w:b w:val="1"/>
          <w:sz w:val="28"/>
        </w:rPr>
        <w:t>В настоящее время занесение карточек услуг, предусмотренных государственным заданием Ненецкого автономного округа, не требуется.</w:t>
      </w:r>
      <w:r>
        <w:rPr>
          <w:sz w:val="28"/>
        </w:rPr>
        <w:t xml:space="preserve"> Перечень таких услуг утвержден распоряжением Администрации НАО от 08.07.2025 № 65-р. </w:t>
      </w:r>
      <w:r>
        <w:rPr>
          <w:sz w:val="28"/>
        </w:rPr>
        <w:t>О необходимости организации этой работы будет сообщено дополнительно.</w:t>
      </w:r>
      <w:r>
        <w:rPr>
          <w:sz w:val="28"/>
        </w:rPr>
        <w:br/>
      </w:r>
    </w:p>
    <w:p w14:paraId="08000000">
      <w:pPr>
        <w:widowControl w:val="1"/>
        <w:spacing w:after="269" w:before="269"/>
        <w:ind w:firstLine="0" w:left="0" w:right="0"/>
        <w:rPr>
          <w:b w:val="1"/>
          <w:sz w:val="28"/>
        </w:rPr>
      </w:pPr>
      <w:r>
        <w:rPr>
          <w:b w:val="1"/>
          <w:sz w:val="28"/>
        </w:rPr>
        <w:t>Занесение карточек муниципальных услуг не требуется.</w:t>
      </w:r>
    </w:p>
    <w:sectPr>
      <w:pgSz w:h="11908" w:orient="landscape" w:w="16848"/>
      <w:pgMar w:bottom="850" w:left="850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2025-07-31T11:33:20Z</dcterms:created>
  <dcterms:modified xsi:type="dcterms:W3CDTF">2025-07-31T11:43:29Z</dcterms:modified>
</cp:coreProperties>
</file>