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3EBD623B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641887">
        <w:rPr>
          <w:rFonts w:asciiTheme="minorHAnsi" w:hAnsiTheme="minorHAnsi" w:cstheme="minorHAnsi"/>
          <w:b/>
          <w:sz w:val="24"/>
          <w:szCs w:val="24"/>
        </w:rPr>
        <w:t>2</w:t>
      </w:r>
      <w:r w:rsidR="00E9340C">
        <w:rPr>
          <w:rFonts w:asciiTheme="minorHAnsi" w:hAnsiTheme="minorHAnsi" w:cstheme="minorHAnsi"/>
          <w:b/>
          <w:sz w:val="24"/>
          <w:szCs w:val="24"/>
        </w:rPr>
        <w:t>2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E9340C">
        <w:rPr>
          <w:rFonts w:asciiTheme="minorHAnsi" w:hAnsiTheme="minorHAnsi" w:cstheme="minorHAnsi"/>
          <w:b/>
          <w:sz w:val="24"/>
          <w:szCs w:val="24"/>
        </w:rPr>
        <w:t>9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19527147" w:rsidR="008B5301" w:rsidRDefault="00641887" w:rsidP="00DC5B2F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 w:rsidR="00E9340C">
        <w:rPr>
          <w:rFonts w:ascii="Calibri" w:hAnsi="Calibri" w:cs="Calibri"/>
          <w:sz w:val="22"/>
          <w:szCs w:val="22"/>
        </w:rPr>
        <w:t>постановление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="00E9340C" w:rsidRPr="00E9340C">
        <w:rPr>
          <w:rFonts w:ascii="Calibri" w:hAnsi="Calibri" w:cs="Calibri"/>
          <w:sz w:val="22"/>
          <w:szCs w:val="22"/>
        </w:rPr>
        <w:t>Об утверждении отчета об исполнении окружного бюджета за девять месяцев 2026 года</w:t>
      </w:r>
      <w:r w:rsidRPr="00641887">
        <w:rPr>
          <w:rFonts w:ascii="Calibri" w:hAnsi="Calibri" w:cs="Calibri"/>
          <w:sz w:val="22"/>
          <w:szCs w:val="22"/>
        </w:rPr>
        <w:t>».</w:t>
      </w:r>
    </w:p>
    <w:p w14:paraId="4E1B6D94" w14:textId="77777777" w:rsidR="00E9340C" w:rsidRDefault="00E9340C" w:rsidP="00DC5B2F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</w:p>
    <w:p w14:paraId="0D47B630" w14:textId="3C3EDA83" w:rsidR="00E9340C" w:rsidRDefault="00E9340C" w:rsidP="00E9340C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постановление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Pr="00E9340C">
        <w:rPr>
          <w:rFonts w:ascii="Calibri" w:hAnsi="Calibri" w:cs="Calibri"/>
          <w:sz w:val="22"/>
          <w:szCs w:val="22"/>
        </w:rPr>
        <w:t>Об установлении расходного обязательства Ненецкого автономного округа в рамках государственной программы Ненецкого автономного округа «Охрана окружающей среды, воспроизводство и использование природных ресурсов</w:t>
      </w:r>
      <w:r w:rsidRPr="00641887">
        <w:rPr>
          <w:rFonts w:ascii="Calibri" w:hAnsi="Calibri" w:cs="Calibri"/>
          <w:sz w:val="22"/>
          <w:szCs w:val="22"/>
        </w:rPr>
        <w:t>».</w:t>
      </w:r>
    </w:p>
    <w:p w14:paraId="08749B27" w14:textId="77777777" w:rsidR="00E9340C" w:rsidRDefault="00E9340C" w:rsidP="00E9340C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</w:p>
    <w:p w14:paraId="7C70E26F" w14:textId="516628A1" w:rsidR="00E9340C" w:rsidRDefault="00E9340C" w:rsidP="00E9340C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Одобрен</w:t>
      </w:r>
      <w:r w:rsidRPr="00E9340C">
        <w:rPr>
          <w:rFonts w:ascii="Calibri" w:hAnsi="Calibri" w:cs="Calibri"/>
          <w:sz w:val="22"/>
          <w:szCs w:val="22"/>
        </w:rPr>
        <w:t xml:space="preserve"> проект закона Ненецкого автономного округа «Об установлении на 2027</w:t>
      </w:r>
      <w:r>
        <w:rPr>
          <w:rFonts w:ascii="Calibri" w:hAnsi="Calibri" w:cs="Calibri"/>
          <w:sz w:val="22"/>
          <w:szCs w:val="22"/>
        </w:rPr>
        <w:t> </w:t>
      </w:r>
      <w:r w:rsidRPr="00E9340C">
        <w:rPr>
          <w:rFonts w:ascii="Calibri" w:hAnsi="Calibri" w:cs="Calibri"/>
          <w:sz w:val="22"/>
          <w:szCs w:val="22"/>
        </w:rPr>
        <w:t xml:space="preserve">год коэффициента, отражающего региональные особенности рынка труда на территории </w:t>
      </w:r>
      <w:r>
        <w:rPr>
          <w:rFonts w:ascii="Calibri" w:hAnsi="Calibri" w:cs="Calibri"/>
          <w:sz w:val="22"/>
          <w:szCs w:val="22"/>
        </w:rPr>
        <w:br/>
      </w:r>
      <w:r w:rsidRPr="00E9340C">
        <w:rPr>
          <w:rFonts w:ascii="Calibri" w:hAnsi="Calibri" w:cs="Calibri"/>
          <w:sz w:val="22"/>
          <w:szCs w:val="22"/>
        </w:rPr>
        <w:t>Ненецкого ав</w:t>
      </w:r>
      <w:r>
        <w:rPr>
          <w:rFonts w:ascii="Calibri" w:hAnsi="Calibri" w:cs="Calibri"/>
          <w:sz w:val="22"/>
          <w:szCs w:val="22"/>
        </w:rPr>
        <w:t>тономного округа» и рекомендовано</w:t>
      </w:r>
      <w:r w:rsidRPr="00E9340C">
        <w:rPr>
          <w:rFonts w:ascii="Calibri" w:hAnsi="Calibri" w:cs="Calibri"/>
          <w:sz w:val="22"/>
          <w:szCs w:val="22"/>
        </w:rPr>
        <w:t xml:space="preserve"> Губернатору Ненецкого автономного округа внести его на рассмотрение в Собрание депутатов Ненецкого автономного округа 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C786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5EB1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5B2F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40C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AF293-0514-4447-ADCC-B84586BF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106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147</cp:revision>
  <cp:lastPrinted>2015-03-18T14:30:00Z</cp:lastPrinted>
  <dcterms:created xsi:type="dcterms:W3CDTF">2025-03-12T06:17:00Z</dcterms:created>
  <dcterms:modified xsi:type="dcterms:W3CDTF">2026-10-27T08:57:00Z</dcterms:modified>
</cp:coreProperties>
</file>