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19A4CCCA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0C1CEA">
        <w:rPr>
          <w:rFonts w:asciiTheme="minorHAnsi" w:hAnsiTheme="minorHAnsi" w:cstheme="minorHAnsi"/>
          <w:b/>
          <w:sz w:val="24"/>
          <w:szCs w:val="24"/>
        </w:rPr>
        <w:t>0</w:t>
      </w:r>
      <w:r w:rsidR="0017712D">
        <w:rPr>
          <w:rFonts w:asciiTheme="minorHAnsi" w:hAnsiTheme="minorHAnsi" w:cstheme="minorHAnsi"/>
          <w:b/>
          <w:sz w:val="24"/>
          <w:szCs w:val="24"/>
        </w:rPr>
        <w:t>8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12</w:t>
      </w:r>
      <w:r w:rsidR="0017712D">
        <w:rPr>
          <w:rFonts w:asciiTheme="minorHAnsi" w:hAnsiTheme="minorHAnsi" w:cstheme="minorHAnsi"/>
          <w:b/>
          <w:sz w:val="24"/>
          <w:szCs w:val="24"/>
        </w:rPr>
        <w:t>9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F027296" w14:textId="58B45CDE" w:rsidR="004F0442" w:rsidRDefault="00487FB6" w:rsidP="00487FB6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="0017712D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изменения в статью </w:t>
      </w:r>
      <w:r w:rsidR="0017712D" w:rsidRPr="0017712D">
        <w:rPr>
          <w:rFonts w:asciiTheme="minorHAnsi" w:eastAsia="Calibri" w:hAnsiTheme="minorHAnsi" w:cstheme="minorHAnsi"/>
          <w:sz w:val="22"/>
          <w:szCs w:val="22"/>
          <w:lang w:eastAsia="en-US"/>
        </w:rPr>
        <w:t>2 закона Ненецкого автономного округа «О перераспределении полномочий по решению вопросов непосредственного обеспечения жизнедеятельности населения для осуществления органами государственной власти Ненецкого автономного округа и органами местного самоуправления муниципальных образований ненецкого автономного округа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и рекомендовано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в Собрание депутатов </w:t>
      </w:r>
      <w:r w:rsidR="0017712D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>Ненецкого автономного округа в предложенном варианте.</w:t>
      </w:r>
    </w:p>
    <w:p w14:paraId="6A5AAF04" w14:textId="77777777" w:rsidR="0017712D" w:rsidRDefault="0017712D" w:rsidP="00487FB6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3F91414" w14:textId="2823590A" w:rsidR="0017712D" w:rsidRDefault="0017712D" w:rsidP="0017712D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часть 10 статьи </w:t>
      </w:r>
      <w:r w:rsidRPr="0017712D">
        <w:rPr>
          <w:rFonts w:asciiTheme="minorHAnsi" w:eastAsia="Calibri" w:hAnsiTheme="minorHAnsi" w:cstheme="minorHAnsi"/>
          <w:sz w:val="22"/>
          <w:szCs w:val="22"/>
          <w:lang w:eastAsia="en-US"/>
        </w:rPr>
        <w:t>12 закона Ненецкого автономного округа «Об образовании в Ненецком автономном округе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и рекомендовано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в Собрание депутатов </w:t>
      </w:r>
      <w:bookmarkStart w:id="0" w:name="_GoBack"/>
      <w:bookmarkEnd w:id="0"/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>Ненецкого автономного округа в предложенном варианте.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FD9516" w14:textId="77777777" w:rsidR="00F81F4F" w:rsidRDefault="00F81F4F">
      <w:r>
        <w:separator/>
      </w:r>
    </w:p>
  </w:endnote>
  <w:endnote w:type="continuationSeparator" w:id="0">
    <w:p w14:paraId="1BC8895F" w14:textId="77777777" w:rsidR="00F81F4F" w:rsidRDefault="00F81F4F">
      <w:r>
        <w:continuationSeparator/>
      </w:r>
    </w:p>
  </w:endnote>
  <w:endnote w:type="continuationNotice" w:id="1">
    <w:p w14:paraId="0B751866" w14:textId="77777777" w:rsidR="00F81F4F" w:rsidRDefault="00F81F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7BDA8" w14:textId="77777777" w:rsidR="00F81F4F" w:rsidRDefault="00F81F4F">
      <w:r>
        <w:separator/>
      </w:r>
    </w:p>
  </w:footnote>
  <w:footnote w:type="continuationSeparator" w:id="0">
    <w:p w14:paraId="00B39085" w14:textId="77777777" w:rsidR="00F81F4F" w:rsidRDefault="00F81F4F">
      <w:r>
        <w:continuationSeparator/>
      </w:r>
    </w:p>
  </w:footnote>
  <w:footnote w:type="continuationNotice" w:id="1">
    <w:p w14:paraId="5CCA63D2" w14:textId="77777777" w:rsidR="00F81F4F" w:rsidRDefault="00F81F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E2B6B-36B5-4E1E-93AF-9FABDDBF2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135</cp:revision>
  <cp:lastPrinted>2015-03-18T14:30:00Z</cp:lastPrinted>
  <dcterms:created xsi:type="dcterms:W3CDTF">2025-03-12T06:17:00Z</dcterms:created>
  <dcterms:modified xsi:type="dcterms:W3CDTF">2026-10-12T07:07:00Z</dcterms:modified>
</cp:coreProperties>
</file>