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16CC8091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6E66A8">
        <w:rPr>
          <w:rFonts w:asciiTheme="minorHAnsi" w:hAnsiTheme="minorHAnsi" w:cstheme="minorHAnsi"/>
          <w:b/>
          <w:sz w:val="24"/>
          <w:szCs w:val="24"/>
        </w:rPr>
        <w:t>10</w:t>
      </w:r>
      <w:r w:rsidR="000F6F40">
        <w:rPr>
          <w:rFonts w:asciiTheme="minorHAnsi" w:hAnsiTheme="minorHAnsi" w:cstheme="minorHAnsi"/>
          <w:b/>
          <w:sz w:val="24"/>
          <w:szCs w:val="24"/>
        </w:rPr>
        <w:t>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6E66A8">
        <w:rPr>
          <w:rFonts w:asciiTheme="minorHAnsi" w:hAnsiTheme="minorHAnsi" w:cstheme="minorHAnsi"/>
          <w:b/>
          <w:sz w:val="24"/>
          <w:szCs w:val="24"/>
        </w:rPr>
        <w:t>116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144720EB" w14:textId="478F9E2F" w:rsidR="00E6414E" w:rsidRPr="004A7536" w:rsidRDefault="00E6414E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F364C95" w14:textId="5C29C07F" w:rsidR="00961C3F" w:rsidRPr="001F2AF9" w:rsidRDefault="006E66A8" w:rsidP="00BF5D37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Администрации Ненецкого автономного округа «</w:t>
      </w:r>
      <w:r w:rsidRPr="006E66A8">
        <w:rPr>
          <w:rFonts w:asciiTheme="minorHAnsi" w:eastAsia="Calibri" w:hAnsiTheme="minorHAnsi" w:cstheme="minorHAnsi"/>
          <w:sz w:val="22"/>
          <w:szCs w:val="22"/>
          <w:lang w:eastAsia="en-US"/>
        </w:rPr>
        <w:t>Об утверждении Порядка предоставления единовременной денежной выплаты иностранным гражданам, заключившим контракт в целях участия в специальной военной операции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2EE6DCA" w14:textId="77777777" w:rsidR="00961C3F" w:rsidRDefault="00961C3F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4C9E3CD" w14:textId="2E26D498" w:rsidR="001F2AF9" w:rsidRDefault="001F2AF9" w:rsidP="000F6F40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Администрации Ненецкого автономного округа «</w:t>
      </w:r>
      <w:r w:rsidR="006E66A8" w:rsidRPr="006E66A8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государственную программу Ненецкого автономного округа «Обеспечение доступным и комфортным жильем и коммунальными услугами граждан, проживающих в Ненецком автономном округе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34F8AE" w14:textId="77777777" w:rsidR="001F2AF9" w:rsidRDefault="001F2AF9" w:rsidP="001F2AF9">
      <w:pPr>
        <w:suppressAutoHyphens/>
        <w:ind w:firstLine="709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8F918F5" w14:textId="341DC48D" w:rsidR="001F2AF9" w:rsidRDefault="006E66A8" w:rsidP="000F6F40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Администрации Ненецкого автономного округа «</w:t>
      </w:r>
      <w:r w:rsidRPr="006E66A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в постановление Администрации Ненецкого автономного округа от 17.08.2012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№ </w:t>
      </w:r>
      <w:r w:rsidRPr="006E66A8">
        <w:rPr>
          <w:rFonts w:asciiTheme="minorHAnsi" w:eastAsia="Calibri" w:hAnsiTheme="minorHAnsi" w:cstheme="minorHAnsi"/>
          <w:sz w:val="22"/>
          <w:szCs w:val="22"/>
          <w:lang w:eastAsia="en-US"/>
        </w:rPr>
        <w:t>234-п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0B8A44B3" w14:textId="77777777" w:rsidR="000101EA" w:rsidRDefault="000101EA" w:rsidP="00D274B5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27A3376" w14:textId="71CC8D24" w:rsidR="000101EA" w:rsidRDefault="006E66A8" w:rsidP="006E66A8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Принято распоряжение Администрации Ненецкого автономного округа «</w:t>
      </w:r>
      <w:r w:rsidRPr="006E66A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в региональную программу «Повышение рождаемости </w:t>
      </w:r>
      <w:bookmarkStart w:id="0" w:name="_GoBack"/>
      <w:bookmarkEnd w:id="0"/>
      <w:r w:rsidRPr="006E66A8">
        <w:rPr>
          <w:rFonts w:asciiTheme="minorHAnsi" w:eastAsia="Calibri" w:hAnsiTheme="minorHAnsi" w:cstheme="minorHAnsi"/>
          <w:sz w:val="22"/>
          <w:szCs w:val="22"/>
          <w:lang w:eastAsia="en-US"/>
        </w:rPr>
        <w:t>в Ненецком автономном округе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140A009F" w14:textId="77777777" w:rsidR="00BB4155" w:rsidRDefault="00BB4155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8367097" w14:textId="77777777" w:rsidR="000101EA" w:rsidRPr="00D246D3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961C3F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6630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6F40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6A8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6305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7A5DD-1C56-4D9B-B76B-E7A17C5D3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125</cp:revision>
  <cp:lastPrinted>2015-03-18T14:30:00Z</cp:lastPrinted>
  <dcterms:created xsi:type="dcterms:W3CDTF">2025-03-12T06:17:00Z</dcterms:created>
  <dcterms:modified xsi:type="dcterms:W3CDTF">2026-09-14T06:54:00Z</dcterms:modified>
</cp:coreProperties>
</file>