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media/image1.pn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bidi w:val="0"/>
        <w:jc w:val="center"/>
        <w:rPr>
          <w:sz w:val="26"/>
          <w:szCs w:val="26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z w:val="26"/>
          <w:szCs w:val="26"/>
        </w:rPr>
        <w:t xml:space="preserve"> </w:t>
      </w:r>
    </w:p>
    <w:p>
      <w:pPr>
        <w:pStyle w:val="BodyTextIndent"/>
        <w:widowControl w:val="false"/>
        <w:bidi w:val="0"/>
        <w:spacing w:before="0" w:after="0"/>
        <w:ind w:start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6"/>
        <w:widowControl w:val="false"/>
        <w:bidi w:val="0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Департамент внутреннего контроля и надзора </w:t>
      </w:r>
    </w:p>
    <w:p>
      <w:pPr>
        <w:pStyle w:val="Heading6"/>
        <w:widowControl w:val="false"/>
        <w:bidi w:val="0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</w:t>
      </w:r>
    </w:p>
    <w:p>
      <w:pPr>
        <w:pStyle w:val="Heading2"/>
        <w:widowControl w:val="false"/>
        <w:bidi w:val="0"/>
        <w:ind w:end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2"/>
        <w:widowControl w:val="false"/>
        <w:bidi w:val="0"/>
        <w:ind w:end="0"/>
        <w:rPr>
          <w:sz w:val="26"/>
          <w:szCs w:val="26"/>
        </w:rPr>
      </w:pPr>
      <w:r>
        <w:rPr>
          <w:sz w:val="26"/>
          <w:szCs w:val="26"/>
        </w:rPr>
        <w:t>ПРИКАЗ</w:t>
      </w:r>
    </w:p>
    <w:p>
      <w:pPr>
        <w:pStyle w:val="Normal"/>
        <w:widowControl w:val="false"/>
        <w:bidi w:val="0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bidi w:val="0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bidi w:val="0"/>
        <w:jc w:val="center"/>
        <w:rPr>
          <w:sz w:val="26"/>
          <w:szCs w:val="26"/>
        </w:rPr>
      </w:pPr>
      <w:r>
        <w:rPr>
          <w:sz w:val="26"/>
          <w:szCs w:val="26"/>
        </w:rPr>
        <w:t>от «___» ___________ 2026 г. № ___</w:t>
      </w:r>
    </w:p>
    <w:p>
      <w:pPr>
        <w:pStyle w:val="Normal"/>
        <w:widowControl w:val="false"/>
        <w:bidi w:val="0"/>
        <w:jc w:val="center"/>
        <w:rPr>
          <w:sz w:val="26"/>
          <w:szCs w:val="26"/>
        </w:rPr>
      </w:pPr>
      <w:r>
        <w:rPr>
          <w:sz w:val="26"/>
          <w:szCs w:val="26"/>
        </w:rPr>
        <w:t>г. Нарьян-Мар</w:t>
      </w:r>
    </w:p>
    <w:p>
      <w:pPr>
        <w:pStyle w:val="Normal"/>
        <w:bidi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start="1134" w:end="1417"/>
        <w:jc w:val="center"/>
        <w:rPr>
          <w:sz w:val="26"/>
          <w:szCs w:val="26"/>
        </w:rPr>
      </w:pPr>
      <w:r>
        <w:rPr>
          <w:b/>
          <w:bCs/>
          <w:color w:val="000000"/>
          <w:spacing w:val="2"/>
          <w:sz w:val="26"/>
          <w:szCs w:val="26"/>
        </w:rPr>
        <w:t xml:space="preserve">Об утверждении Порядка снятия с государственного учета самоходных машин и других видов техники при наличии сведений о смерти владельца, прекращении деятельности юридического лица, о прекращении опеки (попечительства) над собственником техники, а также </w:t>
        <w:br/>
        <w:t>в случае обращения владельца техники в связи с гибелью техники</w:t>
      </w:r>
    </w:p>
    <w:p>
      <w:pPr>
        <w:pStyle w:val="Normal"/>
        <w:widowControl w:val="false"/>
        <w:shd w:fill="FFFFFF" w:val="clear"/>
        <w:bidi w:val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В соответствии с пунктом 54 Правил государственной регистрации самоходных машин и других видов техники, утвержденных постановлением Правительства Российской Федерации от 29.05.2026 № 625, ПРИКАЗЫВАЮ: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1. </w:t>
      </w:r>
      <w:r>
        <w:rPr>
          <w:color w:val="000000"/>
          <w:spacing w:val="-1"/>
          <w:sz w:val="26"/>
          <w:szCs w:val="26"/>
        </w:rPr>
        <w:t xml:space="preserve">Утвердить Порядок снятия с государственного учета самоходных машин </w:t>
        <w:br/>
        <w:t xml:space="preserve">и других видов техники при наличии сведений о смерти владельца, прекращении деятельности юридического лица, о прекращении опеки (попечительства) </w:t>
        <w:br/>
        <w:t xml:space="preserve">над собственником техники, а также в случае обращения владельца техники в связи </w:t>
        <w:br/>
        <w:t>с гибелью техники согласно Приложению.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2. Признать утратившим силу приказ Департамента внутреннего контроля </w:t>
        <w:br/>
        <w:t>и надзора Ненецкого автономного округа от 17.04.2023 № 23 «Об утверждении Порядка снятия с государственного учета самоходных машин и других видов техники при наличии сведений о смерти владельца, прекращении деятельности юридического лица или прекращении опеки (попечительства) над собственником техники».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3. Настоящий приказ вступает в силу со дня его официального опубликования.</w:t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руководителя Департамента</w:t>
      </w:r>
    </w:p>
    <w:p>
      <w:p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внутреннего контроля и надзора </w:t>
      </w:r>
    </w:p>
    <w:p>
      <w:pPr>
        <w:sectPr>
          <w:type w:val="nextPage"/>
          <w:pgSz w:w="11906" w:h="16838"/>
          <w:pgMar w:left="1134" w:right="567" w:gutter="0" w:header="0" w:top="1134" w:footer="0" w:bottom="1134"/>
          <w:pgNumType w:fmt="decimal"/>
          <w:formProt w:val="false"/>
          <w:textDirection w:val="lrTb"/>
          <w:docGrid w:type="default" w:linePitch="600" w:charSpace="24576"/>
        </w:sectPr>
        <w:pStyle w:val="BodyText"/>
        <w:widowControl w:val="false"/>
        <w:bidi w:val="0"/>
        <w:spacing w:before="0" w:after="0"/>
        <w:ind w:end="0"/>
        <w:jc w:val="both"/>
        <w:rPr>
          <w:sz w:val="26"/>
          <w:szCs w:val="26"/>
        </w:rPr>
      </w:pPr>
      <w:r>
        <w:rPr>
          <w:sz w:val="26"/>
          <w:szCs w:val="26"/>
        </w:rPr>
        <w:t>Ненецкого автономного округа                                                                   А.Н. Стебленко</w:t>
      </w:r>
    </w:p>
    <w:p>
      <w:pPr>
        <w:pStyle w:val="Normal"/>
        <w:widowControl w:val="false"/>
        <w:shd w:fill="FFFFFF" w:val="clear"/>
        <w:bidi w:val="0"/>
        <w:ind w:start="5103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Приложение </w:t>
      </w:r>
    </w:p>
    <w:p>
      <w:pPr>
        <w:pStyle w:val="Normal"/>
        <w:widowControl w:val="false"/>
        <w:shd w:fill="FFFFFF" w:val="clear"/>
        <w:bidi w:val="0"/>
        <w:ind w:start="5103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>к приказу Департамента внутреннего контроля и надзора Ненецкого автономного округа от __.__.2026 № __</w:t>
        <w:br/>
        <w:t xml:space="preserve">«Об утверждении Порядка снятия </w:t>
        <w:br/>
        <w:t xml:space="preserve">с государственного учета самоходных машин и других видов техники при наличии сведений о смерти владельца, прекращении деятельности юридического лица, о прекращении опеки (попечительства) </w:t>
        <w:br/>
        <w:t xml:space="preserve">над собственником техники, а также </w:t>
      </w:r>
    </w:p>
    <w:p>
      <w:pPr>
        <w:pStyle w:val="Normal"/>
        <w:widowControl w:val="false"/>
        <w:shd w:fill="FFFFFF" w:val="clear"/>
        <w:bidi w:val="0"/>
        <w:ind w:start="5103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в случае обращения владельца техники </w:t>
        <w:br/>
        <w:t>в связи с гибелью техники»</w:t>
      </w:r>
    </w:p>
    <w:p>
      <w:pPr>
        <w:pStyle w:val="Normal"/>
        <w:widowControl w:val="false"/>
        <w:shd w:fill="FFFFFF" w:val="clear"/>
        <w:bidi w:val="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Normal"/>
        <w:widowControl w:val="false"/>
        <w:shd w:fill="FFFFFF" w:val="clear"/>
        <w:bidi w:val="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Normal"/>
        <w:widowControl w:val="false"/>
        <w:shd w:fill="FFFFFF" w:val="clear"/>
        <w:bidi w:val="0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</w:r>
    </w:p>
    <w:p>
      <w:pPr>
        <w:pStyle w:val="ConsPlusTitle"/>
        <w:ind w:start="1134" w:end="14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Порядок</w:t>
      </w:r>
    </w:p>
    <w:p>
      <w:pPr>
        <w:pStyle w:val="ConsPlusTitle"/>
        <w:ind w:start="1134" w:end="14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снятия с государственного учета самоходных машин </w:t>
        <w:br/>
        <w:t xml:space="preserve">и других видов техники при наличии сведений о смерти владельца, прекращении деятельности юридического лица, о прекращении опеки (попечительства) над собственником техники, а также в случае обращения владельца техники </w:t>
        <w:br/>
        <w:t>в связи с гибелью техники</w:t>
      </w:r>
    </w:p>
    <w:p>
      <w:pPr>
        <w:pStyle w:val="ConsPlusNormal"/>
        <w:widowControl w:val="false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widowControl w:val="false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I. Общие положения</w:t>
      </w:r>
    </w:p>
    <w:p>
      <w:pPr>
        <w:pStyle w:val="Normal"/>
        <w:bidi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>
        <w:rPr>
          <w:b w:val="false"/>
          <w:color w:val="000000"/>
          <w:spacing w:val="4"/>
          <w:sz w:val="26"/>
          <w:szCs w:val="26"/>
        </w:rPr>
        <w:t xml:space="preserve">Порядок снятия с государственного учета самоходных машин и других видов техники при наличии сведений о смерти владельца, прекращении деятельности юридического лица, о прекращении опеки (попечительства) </w:t>
        <w:br/>
        <w:t xml:space="preserve">над собственником техники, а также в случае обращения владельца техники в связи с гибелью техники (далее — Порядок) определяет механизм снятия </w:t>
        <w:br/>
        <w:t xml:space="preserve">с государственного учета самоходных машин и прицепов (полуприцепов) к ним (далее – техника, самоходная машина) при наличии сведений о смерти владельца техники либо о прекращении деятельности юридического лица, являющегося владельцем техники, при наличии сведений о прекращении опеки (попечительства) над собственником техники, а также в случае обращения владельца техники в связи с гибелью техники (далее — снятие с учета техники) и разработан в соответствии </w:t>
        <w:br/>
        <w:t>с пунктом 54 Правил государственной регистрации самоходных машин и других видов техники, утвержденных постановлением Правительства Российской Федерации от 29.05.2026 № 625</w:t>
      </w:r>
      <w:r>
        <w:rPr>
          <w:sz w:val="26"/>
          <w:szCs w:val="26"/>
        </w:rPr>
        <w:t>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Снятие с учета техники осуществляется комитетом государственного надзора за техническим состоянием самоходных машин и других видов техники Департамента внутреннего контроля и надзора Ненецкого автономного округа (далее соответственно — комитет гостехнадзора, Департамент) на основании решения руководителя Департамента внутреннего контроля и надзора Ненецкого автономного округа — главного государственного инженера-инспектора Ненецкого автономного округа </w:t>
        <w:br/>
        <w:t>по надзору за техническим состоянием и эксплуатацией самоходных машин и других видов техники, аттракционов.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3. </w:t>
      </w:r>
      <w:r>
        <w:rPr>
          <w:color w:val="000000"/>
          <w:spacing w:val="4"/>
          <w:sz w:val="26"/>
          <w:szCs w:val="26"/>
        </w:rPr>
        <w:t>Обращение заинтересованного лица о снятии с учета техники может быть подано в Департамент: по истечении (прекращении):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1) по истечении одного года со дня смерти владельца техники;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2) по истечении 6 месяцев со дня прекращения деятельности юридического лица;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3) после прекращения опеки (попечительства) над собственником техники;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4) после получения документа, подтверждающего факт гибели техники</w:t>
      </w:r>
      <w:r>
        <w:rPr>
          <w:sz w:val="26"/>
          <w:szCs w:val="26"/>
        </w:rPr>
        <w:t>.</w:t>
      </w:r>
    </w:p>
    <w:p>
      <w:pPr>
        <w:pStyle w:val="Normal"/>
        <w:bidi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II. Сведения, необходимые для принятия решения</w:t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о снятии с учета техники</w:t>
      </w:r>
    </w:p>
    <w:p>
      <w:pPr>
        <w:pStyle w:val="Normal"/>
        <w:bidi w:val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4. </w:t>
      </w:r>
      <w:r>
        <w:rPr>
          <w:color w:val="000000"/>
          <w:spacing w:val="4"/>
          <w:sz w:val="26"/>
          <w:szCs w:val="26"/>
        </w:rPr>
        <w:t>Сведения о смерти владельца техники либо о прекращении деятельности юридического лица, являющегося владельцем техники, а также при наличии сведений о прекращении опеки (попечительства) над собственником техники поступают в Департамент из органов Федеральной налоговой службы Российской Федерации (</w:t>
      </w:r>
      <w:r>
        <w:rPr>
          <w:color w:val="000000"/>
          <w:spacing w:val="4"/>
          <w:sz w:val="26"/>
          <w:szCs w:val="26"/>
          <w:shd w:fill="auto" w:val="clear"/>
        </w:rPr>
        <w:t>далее</w:t>
      </w:r>
      <w:r>
        <w:rPr>
          <w:color w:val="000000"/>
          <w:spacing w:val="4"/>
          <w:sz w:val="26"/>
          <w:szCs w:val="26"/>
        </w:rPr>
        <w:t xml:space="preserve"> — ФНС России), органа исполнительной власти, осуществляющего функции в сфере государственной регистрации актов гражданского состояния (далее — орган ЗАГС) или органа исполнительной власти, осуществляющего функции с сфере социальной защиты населения в порядке межведомственного взаимодействия</w:t>
      </w:r>
      <w:r>
        <w:rPr>
          <w:sz w:val="26"/>
          <w:szCs w:val="26"/>
        </w:rPr>
        <w:t xml:space="preserve">. 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 Указанные в пункте 4 настоящего Порядка сведения запрашиваются Департаментом при поступлении обращения заинтересованного лица о снятии с учета техники, зарегистрированной в установленном порядке.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 Документ, подтверждающий факт смерти владельца, может быть представлен заявителем. 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 Документ, подтверждающий  </w:t>
      </w:r>
      <w:r>
        <w:rPr>
          <w:color w:val="000000"/>
          <w:spacing w:val="4"/>
          <w:sz w:val="26"/>
          <w:szCs w:val="26"/>
        </w:rPr>
        <w:t>факт гибели техники, предоставляется заявителем на бумажном носителе в виде оригинала, нотариально заверенной копии, копии, заверенной органом, выдавшим документ, или распечаткой документа, подписанного электронной цифровой подписью.</w:t>
      </w:r>
    </w:p>
    <w:p>
      <w:pPr>
        <w:pStyle w:val="Normal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8. В качестве документа, подтверждающего факт гибели самоходной машины, заявителем может быть представлен один из следующих документов:</w:t>
      </w:r>
    </w:p>
    <w:p>
      <w:pPr>
        <w:pStyle w:val="Normal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 xml:space="preserve">1) документ, выданный органами и организациями, входящими в структуру Министерства Российской Федерации по делам гражданской обороны, чрезвычайным ситуациям и ликвидации последствий стихийных бедствий, </w:t>
        <w:br/>
        <w:t xml:space="preserve">о пожаре, чрезвычайном происшествии, стихийном бедствии или ином происшествии с указанием параметров техники, позволяющих </w:t>
        <w:br/>
        <w:t>её идентифицировать. В качестве идентифицирующих признаков указываются заводские номера, государственный регистрационный знак, марка, модель, цвет, габаритные размеры техники;</w:t>
      </w:r>
    </w:p>
    <w:p>
      <w:pPr>
        <w:pStyle w:val="Normal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2) документ, выданный органами Министерства внутренних дел Российской Федерации, подтверждающий невозможность дальнейшего использования техники;</w:t>
      </w:r>
    </w:p>
    <w:p>
      <w:pPr>
        <w:pStyle w:val="Normal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  <w:t>3) решение суда.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 В обращении о снятии с учета техники должны быть указаны: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 фамилия, имя, отчество (при наличии), дата рождения заявителя — физического лица;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наименование, основной государственный регистрационный номер заявителя – юридического лица;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адрес места регистрации;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 серия, номер паспорта, дата выдачи паспорта, наименование органа, </w:t>
        <w:br/>
        <w:t>его выдавшего — для заявителя — физического лица;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 сведения о документе, подтверждающем право лица действовать от имени заявителя (в случае, если обращение подписывается лицом по доверенности);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6) контактный телефон заявителя;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 фамилия, имя, отчество (при наличии), дата рождения умершего владельца техники (опекуна (попечителя);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8) наименование, основной государственный регистрационный номер ликвидированного юридического лица;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9) наименование, марка, заводской номер, номер двигателя самоходной машины, в отношении которой подается обращение.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10. При подаче обращения о снятии с учета техники заявителем должны быть представлены: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 документ, подтверждающий право собственности заявителя </w:t>
        <w:br/>
        <w:t>на самоходную машину;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 паспорт самоходной машины и других видов техники (в случае, если паспорт оформлен на бумажном носителе) (при наличии);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 документ, подтверждающий право лица действовать от имени заявителя </w:t>
        <w:br/>
        <w:t>(в случае подачи заявления лицом по доверенности).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11. Документы, указанные в пункте 10 настоящего Порядка, представляются заявителем в виде оригиналов или нотариально заверенных копий. Сотрудником комитета гостехнадзора, принимающим обращение, снимаются копии </w:t>
        <w:br/>
        <w:t>с представленных документов, копии документов заверяются сотрудником комитета гостехнадзора.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12. Обращение и документы, перечисленные в пункте 10 настоящего Порядка, </w:t>
        <w:br/>
        <w:t>не предоставляются при поступлении информации о прекращении деятельности юридических лиц, полученной из ФНС России, органа ЗАГС или посредством информационных систем, используемых указанными органами.</w:t>
      </w:r>
    </w:p>
    <w:p>
      <w:pPr>
        <w:pStyle w:val="Normal"/>
        <w:bidi w:val="0"/>
        <w:ind w:firstLine="709"/>
        <w:jc w:val="both"/>
        <w:rPr>
          <w:sz w:val="26"/>
          <w:szCs w:val="26"/>
          <w:shd w:fill="auto" w:val="clear"/>
        </w:rPr>
      </w:pPr>
      <w:r>
        <w:rPr>
          <w:sz w:val="26"/>
          <w:szCs w:val="26"/>
          <w:shd w:fill="auto" w:val="clear"/>
        </w:rPr>
        <w:t>В этом случае сотрудник комитета гостехнадзора, назначенный ответственным за работу с полученной информацией, в течение 3 рабочих дней подготавливает проект распоряжения Департамента о снятии с учета техники.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13. Одно обращение может быть подано в отношении нескольких самоходных машин.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14. Самоходная машина, в отношении которой подано обращение, должна быть зарегистрирована на территории Ненецкого автономного округа.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III. Принятие решения о снятии с учета техники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15. Запрос информации, необходимой для принятия решения о снятии </w:t>
        <w:br/>
        <w:t>с учета техники, в порядке межведомственного взаимодействия подготавливаются сотрудником комитета гостехнадзора в течение 3 рабочих дней с момента получения обращения.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 При наличии ограничений (арестов, запретов и т.п.) наложенных </w:t>
        <w:br/>
        <w:t xml:space="preserve">на технику, сотрудником комитета гостехнадзора подготавливается запрос </w:t>
        <w:br/>
        <w:t>в адрес организации, наложившей ограничение, о подтверждении снятия данного ограничения.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17. В течение 3 рабочих дней со дня поступления запрашиваемых сведений сотрудником комитета гостехнадзора, ответственным за рассмотрение обращения, подготавливается проект распоряжения Департамента о снятии с учета техники </w:t>
        <w:br/>
        <w:t>или проект решения об отказе в снятии с учета техники с указанием причин отказа.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18. В случае непоступления запрашиваемых сведений в течении 10 рабочих дней со дня направления запроса сотрудником комитета гостехнадзора подготавливается повторный запрос.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19. После поступления запрашиваемой информации в случае подтверждения изложенных в обращении заявителя фактов сотрудником комитета гостехнадзора </w:t>
        <w:br/>
        <w:t xml:space="preserve">в течение 2 рабочих дней готовится проект распоряжения Департамента о снятии </w:t>
        <w:br/>
        <w:t>с учета самоходной машины.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20. Сотрудник комитета гостехнадзора в течение 1 рабочего дня со дня получения распоряжения о снятии с учета самоходной машины вносит запись </w:t>
        <w:br/>
        <w:t>в информационную систему учета самоходных машин и других видов техники о снятии самоходной машины с регистрационного учета с указанием причины снятия.</w:t>
      </w:r>
    </w:p>
    <w:p>
      <w:pPr>
        <w:pStyle w:val="Normal"/>
        <w:bidi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21. Уведомление о принятом по результатам рассмотрения обращения о снятии техники с учета направляется заявителю в течение рабочего дня, следующего за днем внесения записи о снятии с учета техники </w:t>
      </w:r>
      <w:bookmarkStart w:id="1" w:name="_GoBack_Копия_1"/>
      <w:bookmarkEnd w:id="1"/>
      <w:r>
        <w:rPr>
          <w:sz w:val="26"/>
          <w:szCs w:val="26"/>
        </w:rPr>
        <w:t>в информационную систему или принятия решения об отказе в снятии с учета самоходной машины.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</w:r>
    </w:p>
    <w:p>
      <w:pPr>
        <w:pStyle w:val="ConsPlusNormal"/>
        <w:widowControl w:val="false"/>
        <w:jc w:val="both"/>
        <w:rPr/>
      </w:pPr>
      <w:r>
        <w:rPr/>
      </w:r>
    </w:p>
    <w:p>
      <w:pPr>
        <w:pStyle w:val="ConsPlusNormal"/>
        <w:widowControl w:val="false"/>
        <w:jc w:val="center"/>
        <w:rPr/>
      </w:pPr>
      <w:r>
        <w:rPr/>
        <w:t>_____________</w:t>
      </w:r>
    </w:p>
    <w:p>
      <w:pPr>
        <w:pStyle w:val="Normal"/>
        <w:widowControl w:val="false"/>
        <w:bidi w:val="0"/>
        <w:ind w:firstLine="709"/>
        <w:jc w:val="both"/>
        <w:rPr>
          <w:color w:val="000000"/>
          <w:spacing w:val="4"/>
          <w:sz w:val="26"/>
          <w:szCs w:val="26"/>
        </w:rPr>
      </w:pPr>
      <w:r>
        <w:rPr>
          <w:color w:val="000000"/>
          <w:spacing w:val="4"/>
          <w:sz w:val="26"/>
          <w:szCs w:val="26"/>
        </w:rPr>
      </w:r>
    </w:p>
    <w:p>
      <w:pPr>
        <w:pStyle w:val="Normal"/>
        <w:bidi w:val="0"/>
        <w:rPr/>
      </w:pPr>
      <w:r>
        <w:rPr/>
      </w:r>
    </w:p>
    <w:sectPr>
      <w:headerReference w:type="default" r:id="rId3"/>
      <w:headerReference w:type="first" r:id="rId4"/>
      <w:type w:val="nextPage"/>
      <w:pgSz w:w="11906" w:h="16838"/>
      <w:pgMar w:left="1701" w:right="566" w:gutter="0" w:header="720" w:top="1134" w:footer="0" w:bottom="1134"/>
      <w:pgNumType w:start="1" w:fmt="decimal"/>
      <w:formProt w:val="false"/>
      <w:titlePg/>
      <w:textDirection w:val="lrTb"/>
      <w:docGrid w:type="default" w:linePitch="272" w:charSpace="429496565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 w:characterSet="utf-8"/>
    <w:family w:val="modern"/>
    <w:pitch w:val="fixed"/>
  </w:font>
  <w:font w:name="Calibri">
    <w:charset w:val="01" w:characterSet="utf-8"/>
    <w:family w:val="roman"/>
    <w:pitch w:val="default"/>
  </w:font>
  <w:font w:name="Times New Roman">
    <w:charset w:val="01" w:characterSet="utf-8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4</w:t>
    </w:r>
    <w:r>
      <w:rPr>
        <w:sz w:val="22"/>
        <w:szCs w:val="22"/>
      </w:rPr>
      <w:fldChar w:fldCharType="end"/>
    </w:r>
  </w:p>
  <w:p>
    <w:pPr>
      <w:pStyle w:val="Header"/>
      <w:suppressLineNumbers w:val="0"/>
      <w:bidi w:val="0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numFmt w:val="none"/>
      <w:suff w:val="nothing"/>
      <w:lvlText w:val="%2"/>
      <w:lvlJc w:val="start"/>
      <w:pPr>
        <w:tabs>
          <w:tab w:val="num" w:pos="576"/>
        </w:tabs>
        <w:ind w:start="576" w:hanging="576"/>
      </w:pPr>
    </w:lvl>
    <w:lvl w:ilvl="2">
      <w:start w:val="1"/>
      <w:numFmt w:val="none"/>
      <w:suff w:val="nothing"/>
      <w:lvlText w:val="%3"/>
      <w:lvlJc w:val="start"/>
      <w:pPr>
        <w:tabs>
          <w:tab w:val="num" w:pos="720"/>
        </w:tabs>
        <w:ind w:start="720" w:hanging="720"/>
      </w:pPr>
    </w:lvl>
    <w:lvl w:ilvl="3">
      <w:start w:val="1"/>
      <w:numFmt w:val="none"/>
      <w:suff w:val="nothing"/>
      <w:lvlText w:val="%4"/>
      <w:lvlJc w:val="start"/>
      <w:pPr>
        <w:tabs>
          <w:tab w:val="num" w:pos="864"/>
        </w:tabs>
        <w:ind w:start="864" w:hanging="864"/>
      </w:pPr>
    </w:lvl>
    <w:lvl w:ilvl="4">
      <w:start w:val="1"/>
      <w:numFmt w:val="none"/>
      <w:suff w:val="nothing"/>
      <w:lvlText w:val="%5"/>
      <w:lvlJc w:val="start"/>
      <w:pPr>
        <w:tabs>
          <w:tab w:val="num" w:pos="1008"/>
        </w:tabs>
        <w:ind w:start="1008" w:hanging="1008"/>
      </w:pPr>
    </w:lvl>
    <w:lvl w:ilvl="5">
      <w:start w:val="1"/>
      <w:numFmt w:val="none"/>
      <w:suff w:val="nothing"/>
      <w:lvlText w:val="%6"/>
      <w:lvlJc w:val="start"/>
      <w:pPr>
        <w:tabs>
          <w:tab w:val="num" w:pos="1152"/>
        </w:tabs>
        <w:ind w:start="1152" w:hanging="1152"/>
      </w:pPr>
    </w:lvl>
    <w:lvl w:ilvl="6">
      <w:start w:val="1"/>
      <w:numFmt w:val="none"/>
      <w:suff w:val="nothing"/>
      <w:lvlText w:val="%7"/>
      <w:lvlJc w:val="start"/>
      <w:pPr>
        <w:tabs>
          <w:tab w:val="num" w:pos="1296"/>
        </w:tabs>
        <w:ind w:start="1296" w:hanging="1296"/>
      </w:pPr>
    </w:lvl>
    <w:lvl w:ilvl="7">
      <w:start w:val="1"/>
      <w:numFmt w:val="none"/>
      <w:suff w:val="nothing"/>
      <w:lvlText w:val="%8"/>
      <w:lvlJc w:val="start"/>
      <w:pPr>
        <w:tabs>
          <w:tab w:val="num" w:pos="1440"/>
        </w:tabs>
        <w:ind w:start="1440" w:hanging="1440"/>
      </w:pPr>
    </w:lvl>
    <w:lvl w:ilvl="8">
      <w:start w:val="1"/>
      <w:numFmt w:val="none"/>
      <w:suff w:val="nothing"/>
      <w:lvlText w:val="%9"/>
      <w:lvlJc w:val="start"/>
      <w:pPr>
        <w:tabs>
          <w:tab w:val="num" w:pos="1584"/>
        </w:tabs>
        <w:ind w:start="1584" w:hanging="1584"/>
      </w:pPr>
    </w:lvl>
  </w:abstractNum>
  <w:abstractNum w:abstractNumId="2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3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24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Firs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/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Firs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Firs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FirstIndent"/>
    <w:qFormat/>
    <w:pPr>
      <w:spacing w:before="0" w:after="0"/>
      <w:ind w:hanging="0" w:start="709" w:end="0"/>
      <w:jc w:val="both"/>
    </w:pPr>
    <w:rPr>
      <w:b/>
    </w:rPr>
  </w:style>
  <w:style w:type="paragraph" w:styleId="BodyTextFirstIndent">
    <w:name w:val="Body Text First Indent"/>
    <w:basedOn w:val="Normal"/>
    <w:pPr>
      <w:ind w:firstLine="709" w:start="0" w:end="0"/>
      <w:jc w:val="both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BodyTextIndent">
    <w:name w:val="Body Text Indent"/>
    <w:basedOn w:val="BodyText"/>
    <w:pPr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pPr>
      <w:numPr>
        <w:ilvl w:val="0"/>
        <w:numId w:val="2"/>
      </w:numPr>
      <w:spacing w:before="0" w:after="0"/>
    </w:pPr>
    <w:rPr/>
  </w:style>
  <w:style w:type="paragraph" w:styleId="11">
    <w:name w:val="Нумерованный 1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"/>
    <w:qFormat/>
    <w:pPr>
      <w:spacing w:before="0" w:after="0"/>
      <w:ind w:hanging="0" w:start="0" w:end="0"/>
    </w:pPr>
    <w:rPr/>
  </w:style>
  <w:style w:type="paragraph" w:styleId="ListBullet">
    <w:name w:val="List Bullet"/>
    <w:basedOn w:val="List"/>
    <w:pPr>
      <w:numPr>
        <w:ilvl w:val="0"/>
        <w:numId w:val="3"/>
      </w:numPr>
      <w:spacing w:before="0" w:after="0"/>
    </w:pPr>
    <w:rPr/>
  </w:style>
  <w:style w:type="paragraph" w:styleId="14">
    <w:name w:val="Список 1 конец"/>
    <w:basedOn w:val="List"/>
    <w:next w:val="ListBullet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2"/>
    <w:qFormat/>
    <w:pPr>
      <w:spacing w:before="0" w:after="0"/>
      <w:ind w:hanging="0" w:start="0" w:end="0"/>
    </w:pPr>
    <w:rPr/>
  </w:style>
  <w:style w:type="paragraph" w:styleId="ListBullet2">
    <w:name w:val="List Bullet 2"/>
    <w:basedOn w:val="List"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2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3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4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5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6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7">
    <w:name w:val="Содержимое таблицы"/>
    <w:basedOn w:val="Normal"/>
    <w:qFormat/>
    <w:pPr/>
    <w:rPr/>
  </w:style>
  <w:style w:type="paragraph" w:styleId="Style38">
    <w:name w:val="Заголовок таблицы"/>
    <w:basedOn w:val="Style37"/>
    <w:qFormat/>
    <w:pPr>
      <w:jc w:val="center"/>
    </w:pPr>
    <w:rPr>
      <w:b/>
    </w:rPr>
  </w:style>
  <w:style w:type="paragraph" w:styleId="Style39">
    <w:name w:val="Иллюстрация"/>
    <w:basedOn w:val="Caption"/>
    <w:qFormat/>
    <w:pPr/>
    <w:rPr/>
  </w:style>
  <w:style w:type="paragraph" w:styleId="Style40">
    <w:name w:val="Таблица"/>
    <w:basedOn w:val="Caption"/>
    <w:qFormat/>
    <w:pPr/>
    <w:rPr/>
  </w:style>
  <w:style w:type="paragraph" w:styleId="Style41">
    <w:name w:val="Текст"/>
    <w:basedOn w:val="Caption"/>
    <w:qFormat/>
    <w:pPr/>
    <w:rPr/>
  </w:style>
  <w:style w:type="paragraph" w:styleId="Style42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Style43">
    <w:name w:val="Рисунок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paragraph" w:styleId="ConsPlusTitle">
    <w:name w:val="ConsPlusTitle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1"/>
    <w:qFormat/>
  </w:style>
  <w:style w:type="numbering" w:styleId="IVX">
    <w:name w:val="Нумерованный IVX"/>
    <w:qFormat/>
  </w:style>
  <w:style w:type="numbering" w:styleId="ivx1">
    <w:name w:val="Нумерованный ivx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☑"/>
    <w:qFormat/>
  </w:style>
  <w:style w:type="numbering" w:styleId="Style54">
    <w:name w:val="Маркированный ➢"/>
    <w:qFormat/>
  </w:style>
  <w:style w:type="numbering" w:styleId="Style55">
    <w:name w:val="Маркированный ✗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LibreOffice/25.8.3.2$Linux_X86_64 LibreOffice_project/580$Build-2</Application>
  <AppVersion>15.0000</AppVersion>
  <Pages>6</Pages>
  <Words>1328</Words>
  <Characters>9143</Characters>
  <CharactersWithSpaces>10508</CharactersWithSpaces>
  <Paragraphs>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2026-10-19T15:23:44Z</dcterms:created>
  <dc:creator/>
  <dc:description/>
  <dc:language>ru-RU</dc:language>
  <cp:lastModifiedBy/>
  <dcterms:modified xsi:type="dcterms:W3CDTF">2026-10-19T15:24:19Z</dcterms:modified>
  <cp:revision>2</cp:revision>
  <dc:subject/>
  <dc:title>Default</dc:title>
</cp:coreProperties>
</file>