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 ЗАПИСКА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вопросу, выносимому на заседание Администрации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Ненецкого автономного округа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октябре 2026 года</w:t>
      </w:r>
    </w:p>
    <w:p>
      <w:pPr>
        <w:pStyle w:val="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before="0" w:after="0"/>
        <w:ind w:firstLine="680" w:left="0" w:right="0"/>
        <w:jc w:val="both"/>
        <w:rPr/>
      </w:pPr>
      <w:r>
        <w:rPr>
          <w:rFonts w:cs="Times New Roman"/>
          <w:sz w:val="26"/>
          <w:szCs w:val="26"/>
        </w:rPr>
        <w:t xml:space="preserve">1. Вопрос: </w:t>
      </w:r>
      <w:r>
        <w:rPr>
          <w:rFonts w:cs="Times New Roman"/>
          <w:b w:val="false"/>
          <w:sz w:val="26"/>
          <w:szCs w:val="26"/>
        </w:rPr>
        <w:t xml:space="preserve">о проекте закона Ненецкого автономного округа </w:t>
      </w:r>
      <w:r>
        <w:rPr>
          <w:rFonts w:cs="Times New Roman" w:ascii="XO Thames" w:hAnsi="XO Thames"/>
          <w:b w:val="false"/>
          <w:sz w:val="26"/>
          <w:szCs w:val="26"/>
        </w:rPr>
        <w:t>«</w:t>
      </w:r>
      <w:r>
        <w:rPr>
          <w:rFonts w:cs="Times New Roman" w:ascii="XO Thames" w:hAnsi="XO Thames"/>
          <w:b w:val="false"/>
          <w:bCs w:val="false"/>
          <w:color w:val="000000"/>
          <w:sz w:val="26"/>
          <w:szCs w:val="26"/>
        </w:rPr>
        <w:t xml:space="preserve">О </w:t>
      </w:r>
      <w:r>
        <w:rPr>
          <w:rFonts w:cs="Times New Roman" w:ascii="XO Thames" w:hAnsi="XO Thames"/>
          <w:b w:val="false"/>
          <w:bCs w:val="false"/>
          <w:color w:val="000000"/>
          <w:sz w:val="26"/>
          <w:szCs w:val="26"/>
        </w:rPr>
        <w:t>регулировании отдельных вопросов организации местного самоуправления на территории Ненецкого автономного округа</w:t>
      </w:r>
      <w:r>
        <w:rPr>
          <w:rFonts w:cs="Times New Roman" w:ascii="XO Thames" w:hAnsi="XO Thames"/>
          <w:b w:val="false"/>
          <w:bCs w:val="false"/>
          <w:sz w:val="26"/>
          <w:szCs w:val="26"/>
        </w:rPr>
        <w:t>».</w:t>
      </w:r>
    </w:p>
    <w:p>
      <w:pPr>
        <w:pStyle w:val="Normal"/>
        <w:ind w:firstLine="709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b/>
          <w:sz w:val="26"/>
          <w:szCs w:val="26"/>
        </w:rPr>
        <w:t>2. Общая характеристика вопроса:</w:t>
      </w:r>
    </w:p>
    <w:p>
      <w:pPr>
        <w:pStyle w:val="Normal"/>
        <w:widowControl w:val="false"/>
        <w:numPr>
          <w:ilvl w:val="0"/>
          <w:numId w:val="0"/>
        </w:numPr>
        <w:ind w:firstLine="709" w:left="0"/>
        <w:jc w:val="both"/>
        <w:outlineLvl w:val="0"/>
        <w:rPr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Проект закона Ненецкого автономного округа </w:t>
      </w:r>
      <w:r>
        <w:rPr>
          <w:rFonts w:cs="Times New Roman" w:ascii="XO Thames" w:hAnsi="XO Thames"/>
          <w:b w:val="false"/>
          <w:sz w:val="26"/>
          <w:szCs w:val="26"/>
        </w:rPr>
        <w:t>«</w:t>
      </w:r>
      <w:r>
        <w:rPr>
          <w:rFonts w:cs="Times New Roman" w:ascii="XO Thames" w:hAnsi="XO Thames"/>
          <w:b w:val="false"/>
          <w:bCs w:val="false"/>
          <w:color w:val="000000"/>
          <w:sz w:val="26"/>
          <w:szCs w:val="26"/>
        </w:rPr>
        <w:t xml:space="preserve">О </w:t>
      </w:r>
      <w:r>
        <w:rPr>
          <w:rFonts w:cs="Times New Roman" w:ascii="XO Thames" w:hAnsi="XO Thames"/>
          <w:b w:val="false"/>
          <w:bCs w:val="false"/>
          <w:color w:val="000000"/>
          <w:sz w:val="26"/>
          <w:szCs w:val="26"/>
        </w:rPr>
        <w:t>регулировании отдельных вопросов организации местного самоуправления на территории Ненецкого автономного округа</w:t>
      </w:r>
      <w:r>
        <w:rPr>
          <w:rFonts w:cs="Times New Roman" w:ascii="XO Thames" w:hAnsi="XO Thames"/>
          <w:b w:val="false"/>
          <w:bCs w:val="false"/>
          <w:sz w:val="26"/>
          <w:szCs w:val="26"/>
        </w:rPr>
        <w:t xml:space="preserve">» </w:t>
      </w:r>
      <w:r>
        <w:rPr>
          <w:rFonts w:ascii="XO Thames" w:hAnsi="XO Thames"/>
          <w:sz w:val="26"/>
          <w:szCs w:val="26"/>
        </w:rPr>
        <w:t>(далее –законопроект) разработан в целях реализации полномочий органов государственной власти Ненецкого автономного округа в сфере правового регулирования организации местного самоуправления в соответствии</w:t>
        <w:br/>
        <w:t>с Федеральным законом от 20.03.2025 № 33-ФЗ «Об общих принципах организации местного самоуправле</w:t>
      </w:r>
      <w:r>
        <w:rPr>
          <w:sz w:val="26"/>
          <w:szCs w:val="26"/>
        </w:rPr>
        <w:t>ния в единой системе публичной власти» (далее – Федеральный закон № 33-ФЗ) и направлен на приведение законодательства Ненецкого автономного округа в соответствие с новыми федеральными требованиями, а также на замену действующего закона Ненецкого автономного округа от 17.02.2010 № 8-оз</w:t>
        <w:br/>
        <w:t>«О регулировании отдельных вопросов организации местного самоуправления</w:t>
        <w:br/>
        <w:t>на территории Ненецкого автономного округа» (далее – окружной закон № 8-оз).</w:t>
      </w:r>
    </w:p>
    <w:p>
      <w:pPr>
        <w:pStyle w:val="Normal"/>
        <w:ind w:firstLine="709"/>
        <w:jc w:val="both"/>
        <w:rPr/>
      </w:pPr>
      <w:r>
        <w:rPr>
          <w:rStyle w:val="Fontstyle01"/>
          <w:rFonts w:ascii="XO Thames" w:hAnsi="XO Thames"/>
          <w:color w:val="auto"/>
        </w:rPr>
        <w:t>Частью 7 статьи 9 Федерального закона № 33-ФЗ допускается сохранение</w:t>
        <w:br/>
        <w:t>в субъекте Российской Федерации двухуровневой модели организации местного самоуправления при наличии к тому социально-экономических, исторических, национальных и иных предпосылок.</w:t>
      </w:r>
    </w:p>
    <w:p>
      <w:pPr>
        <w:pStyle w:val="Normal"/>
        <w:ind w:firstLine="709"/>
        <w:jc w:val="both"/>
        <w:rPr/>
      </w:pPr>
      <w:r>
        <w:rPr>
          <w:rStyle w:val="Fontstyle01"/>
          <w:rFonts w:ascii="XO Thames" w:hAnsi="XO Thames"/>
          <w:color w:val="auto"/>
        </w:rPr>
        <w:t>Уставом Ненецкого автономного округа предусмотрено, что общие принципы организации местного самоуправления в Ненецком автономном округе определяются федеральным и окружным законодательством с учетом национальных, исторических и иных местных традиций (часть 3 статьи 46), при этом местное самоуправление осуществляется на всей территории Ненецкого автономного округа: в городских, сельских поселениях, муниципальном районе, городском округе (часть 1 статьи 47).</w:t>
      </w:r>
    </w:p>
    <w:p>
      <w:pPr>
        <w:pStyle w:val="Normal"/>
        <w:ind w:firstLine="709"/>
        <w:jc w:val="both"/>
        <w:rPr/>
      </w:pPr>
      <w:r>
        <w:rPr>
          <w:rStyle w:val="Fontstyle01"/>
          <w:rFonts w:ascii="XO Thames" w:hAnsi="XO Thames"/>
          <w:color w:val="auto"/>
        </w:rPr>
        <w:t xml:space="preserve">Законопроектом предлагается на части территории Ненецкого автономного округа (на территории Заполярного района) сохранить двухуровневую организацию местного самоуправления. Данная модель организации позволяет учесть особенности территориальной организации округа, характеризующейся низкой плотностью населения и значительной удаленностью населенных пунктов друг от друга. </w:t>
      </w:r>
    </w:p>
    <w:p>
      <w:pPr>
        <w:pStyle w:val="Normal"/>
        <w:ind w:firstLine="709"/>
        <w:jc w:val="both"/>
        <w:rPr/>
      </w:pPr>
      <w:r>
        <w:rPr>
          <w:rStyle w:val="Fontstyle01"/>
          <w:rFonts w:ascii="XO Thames" w:hAnsi="XO Thames"/>
          <w:color w:val="auto"/>
        </w:rPr>
        <w:t>Особенности организации местного самоуправления в муниципальных образованиях, сохраняющих двухуровневую систему, регулируются статьей 89 Федерального закона № 33-ФЗ.</w:t>
      </w:r>
    </w:p>
    <w:p>
      <w:pPr>
        <w:pStyle w:val="Normal"/>
        <w:ind w:firstLine="709"/>
        <w:jc w:val="both"/>
        <w:rPr/>
      </w:pPr>
      <w:r>
        <w:rPr>
          <w:rStyle w:val="Fontstyle01"/>
          <w:rFonts w:ascii="XO Thames" w:hAnsi="XO Thames"/>
          <w:color w:val="auto"/>
        </w:rPr>
        <w:t>Таким образом, в соответствии с проектом закона на территории округа местное самоуправление осуществляется в следующих муниципальных образованиях: городском округе «Город Нарьян-Мар», муниципальном районе «Заполярный район Ненецкого автономного округа» и входящих в его состав городском поселении «Рабочий поселок Искателей» и сельских поселениях.</w:t>
      </w:r>
    </w:p>
    <w:p>
      <w:pPr>
        <w:pStyle w:val="Normal"/>
        <w:ind w:firstLine="709"/>
        <w:jc w:val="both"/>
        <w:rPr/>
      </w:pPr>
      <w:r>
        <w:rPr>
          <w:rStyle w:val="Fontstyle01"/>
          <w:rFonts w:ascii="XO Thames" w:hAnsi="XO Thames"/>
          <w:color w:val="auto"/>
        </w:rPr>
        <w:t>Законопроектом определяются следующие основные положения:</w:t>
      </w:r>
    </w:p>
    <w:p>
      <w:pPr>
        <w:pStyle w:val="Normal"/>
        <w:ind w:firstLine="709"/>
        <w:jc w:val="both"/>
        <w:rPr/>
      </w:pPr>
      <w:r>
        <w:rPr>
          <w:rStyle w:val="Fontstyle01"/>
          <w:rFonts w:ascii="XO Thames" w:hAnsi="XO Thames"/>
          <w:color w:val="auto"/>
        </w:rPr>
        <w:t>1) наименования органов и должностных лиц местного самоуправления муниципальных образований Ненецкого автономного округа (далее также – органы местного самоуправления), которые устанавливаются аналогично статьям 1–4 действующего окружного закона № 8-оз;</w:t>
      </w:r>
    </w:p>
    <w:p>
      <w:pPr>
        <w:pStyle w:val="Normal"/>
        <w:ind w:firstLine="709"/>
        <w:jc w:val="both"/>
        <w:rPr/>
      </w:pPr>
      <w:r>
        <w:rPr>
          <w:rStyle w:val="Fontstyle01"/>
          <w:rFonts w:ascii="XO Thames" w:hAnsi="XO Thames"/>
          <w:color w:val="auto"/>
        </w:rPr>
        <w:t xml:space="preserve">2) определяются порядок формирования и срок полномочий органов местного самоуправления в соответствии со статьями 19 и 25 Федерального закона № 33-ФЗ, при этом: </w:t>
      </w:r>
    </w:p>
    <w:p>
      <w:pPr>
        <w:pStyle w:val="Normal"/>
        <w:ind w:firstLine="709"/>
        <w:jc w:val="both"/>
        <w:rPr/>
      </w:pPr>
      <w:r>
        <w:rPr>
          <w:rStyle w:val="Fontstyle01"/>
          <w:rFonts w:ascii="XO Thames" w:hAnsi="XO Thames"/>
          <w:color w:val="000000"/>
          <w:shd w:fill="auto" w:val="clear"/>
        </w:rPr>
        <w:t>изменяется порядок избрания главы Городского округа «Город Нарьян-Мар» и главы Заполярного района, в соответствии с которым главы избираются представительным органом из числа кандидатов, представленных губернатором Ненецкого автономного округа, что является новеллой по сравнению с окружным законом № 8-оз, согласно которому главы избирались по конкурсу;</w:t>
      </w:r>
    </w:p>
    <w:p>
      <w:pPr>
        <w:pStyle w:val="Normal"/>
        <w:ind w:firstLine="709"/>
        <w:jc w:val="both"/>
        <w:rPr/>
      </w:pPr>
      <w:r>
        <w:rPr>
          <w:rStyle w:val="Fontstyle01"/>
          <w:rFonts w:ascii="XO Thames" w:hAnsi="XO Thames"/>
          <w:color w:val="000000"/>
          <w:shd w:fill="auto" w:val="clear"/>
        </w:rPr>
        <w:t>закрепляется единый для всех поселений способ избрания главы муниципального образования – представительным органом муниципального образования из числа кандидатов, представленных конкурсной комиссией</w:t>
        <w:br/>
        <w:t>по результатам конкурса;</w:t>
      </w:r>
    </w:p>
    <w:p>
      <w:pPr>
        <w:pStyle w:val="Normal"/>
        <w:ind w:firstLine="709"/>
        <w:jc w:val="both"/>
        <w:rPr/>
      </w:pPr>
      <w:r>
        <w:rPr>
          <w:rStyle w:val="Fontstyle01"/>
          <w:rFonts w:ascii="XO Thames" w:hAnsi="XO Thames"/>
          <w:color w:val="auto"/>
        </w:rPr>
        <w:t>устанавливается единый срок полномочий органов местного самоуправления – пять лет;</w:t>
      </w:r>
    </w:p>
    <w:p>
      <w:pPr>
        <w:pStyle w:val="Normal"/>
        <w:ind w:firstLine="709"/>
        <w:jc w:val="both"/>
        <w:rPr/>
      </w:pPr>
      <w:r>
        <w:rPr>
          <w:rStyle w:val="Fontstyle01"/>
          <w:rFonts w:ascii="XO Thames" w:hAnsi="XO Thames"/>
          <w:color w:val="auto"/>
          <w:sz w:val="26"/>
          <w:szCs w:val="26"/>
        </w:rPr>
        <w:t>3) устанавливаются полномочия для муниципального района «Заполярный район» (полномочия межпоселенческого характера) и полномочия для входящих в его состав городского и сельских поселений в соответствии со статьей 32 Федерального закона № 33-ФЗ (вступает в силу с 01.01.2028), с учетом особенностей перераспределения полномочий, установленных законом округа от 01.07.2026</w:t>
        <w:br/>
        <w:t>№ 199-оз «</w:t>
      </w:r>
      <w:r>
        <w:rPr>
          <w:rFonts w:ascii="XO Thames" w:hAnsi="XO Thames"/>
          <w:sz w:val="26"/>
          <w:szCs w:val="26"/>
        </w:rPr>
        <w:t xml:space="preserve">О перераспределении полномочий по решению вопросов непосредственного обеспечения жизнедеятельности населения для осуществления органами государственной власти Ненецкого автономного округа и органами местного самоуправления муниципальных образований Ненецкого автономного округа» </w:t>
      </w:r>
      <w:r>
        <w:rPr>
          <w:rStyle w:val="Fontstyle01"/>
          <w:rFonts w:ascii="XO Thames" w:hAnsi="XO Thames"/>
          <w:color w:val="auto"/>
          <w:sz w:val="26"/>
          <w:szCs w:val="26"/>
        </w:rPr>
        <w:t>(глава 2 законопроекта);</w:t>
      </w:r>
    </w:p>
    <w:p>
      <w:pPr>
        <w:pStyle w:val="Normal"/>
        <w:ind w:firstLine="709"/>
        <w:jc w:val="both"/>
        <w:rPr/>
      </w:pPr>
      <w:r>
        <w:rPr>
          <w:rStyle w:val="Fontstyle01"/>
          <w:rFonts w:ascii="XO Thames" w:hAnsi="XO Thames"/>
          <w:color w:val="auto"/>
          <w:sz w:val="26"/>
          <w:szCs w:val="26"/>
        </w:rPr>
        <w:t>4) регулируются формы непосредственного осуществления населением местного самоуправления и участия населения в осуществлении местного самоуправления (</w:t>
      </w:r>
      <w:r>
        <w:rPr>
          <w:rFonts w:ascii="XO Thames" w:hAnsi="XO Thames"/>
          <w:sz w:val="26"/>
          <w:szCs w:val="26"/>
        </w:rPr>
        <w:t>глава 3 законопроекта</w:t>
      </w:r>
      <w:r>
        <w:rPr>
          <w:rStyle w:val="Fontstyle01"/>
          <w:rFonts w:ascii="XO Thames" w:hAnsi="XO Thames"/>
          <w:color w:val="auto"/>
          <w:sz w:val="26"/>
          <w:szCs w:val="26"/>
        </w:rPr>
        <w:t>) в соответствии со статьями 42–52 Федерального закона № 33-ФЗ;</w:t>
      </w:r>
    </w:p>
    <w:p>
      <w:pPr>
        <w:pStyle w:val="Normal"/>
        <w:ind w:firstLine="709"/>
        <w:jc w:val="both"/>
        <w:rPr/>
      </w:pPr>
      <w:r>
        <w:rPr>
          <w:rStyle w:val="Fontstyle01"/>
          <w:rFonts w:ascii="XO Thames" w:hAnsi="XO Thames"/>
          <w:color w:val="auto"/>
          <w:sz w:val="26"/>
          <w:szCs w:val="26"/>
        </w:rPr>
        <w:t>5) определяются полномочия Собрания депутатов и Администрации</w:t>
        <w:br/>
        <w:t>Ненецкого автономного округа в сфере взаимодействия с Советом муниципальных образований, принципы взаимодействия аналогично главе 2 действующего окружного закона № 8-оз;</w:t>
      </w:r>
    </w:p>
    <w:p>
      <w:pPr>
        <w:pStyle w:val="Normal"/>
        <w:ind w:firstLine="709"/>
        <w:jc w:val="both"/>
        <w:rPr/>
      </w:pPr>
      <w:r>
        <w:rPr>
          <w:rStyle w:val="Fontstyle01"/>
          <w:rFonts w:ascii="XO Thames" w:hAnsi="XO Thames"/>
          <w:color w:val="auto"/>
          <w:sz w:val="26"/>
          <w:szCs w:val="26"/>
        </w:rPr>
        <w:t xml:space="preserve">6) устанавливается порядок участия финансового органа Ненецкого автономного округа в проведении проверки соответствия кандидатов на замещение должности руководителя финансового органа муниципального района, городского округа квалификационным требованиям </w:t>
      </w:r>
      <w:r>
        <w:rPr>
          <w:rFonts w:ascii="XO Thames" w:hAnsi="XO Thames"/>
          <w:sz w:val="26"/>
          <w:szCs w:val="26"/>
        </w:rPr>
        <w:t>(глава 5 законопроекта)</w:t>
      </w:r>
      <w:r>
        <w:rPr>
          <w:rStyle w:val="Fontstyle01"/>
          <w:rFonts w:ascii="XO Thames" w:hAnsi="XO Thames"/>
          <w:color w:val="auto"/>
          <w:sz w:val="26"/>
          <w:szCs w:val="26"/>
        </w:rPr>
        <w:t xml:space="preserve"> в соответствии</w:t>
        <w:br/>
        <w:t>с частями 8–9 статьи 65 Федерального закона № 33-ФЗ и с учетом действующей редакции главы 2.2 окружного закона № 8-оз;</w:t>
      </w:r>
    </w:p>
    <w:p>
      <w:pPr>
        <w:pStyle w:val="Normal"/>
        <w:ind w:firstLine="709"/>
        <w:jc w:val="both"/>
        <w:rPr/>
      </w:pPr>
      <w:r>
        <w:rPr>
          <w:rStyle w:val="Fontstyle01"/>
          <w:rFonts w:ascii="XO Thames" w:hAnsi="XO Thames"/>
          <w:color w:val="auto"/>
          <w:sz w:val="26"/>
          <w:szCs w:val="26"/>
        </w:rPr>
        <w:t>7) определяется порядок согласования, регистрации соглашений, информирования при</w:t>
      </w:r>
      <w:r>
        <w:rPr>
          <w:rFonts w:ascii="XO Thames" w:hAnsi="XO Thames"/>
          <w:sz w:val="26"/>
          <w:szCs w:val="26"/>
        </w:rPr>
        <w:t xml:space="preserve"> </w:t>
      </w:r>
      <w:r>
        <w:rPr>
          <w:rStyle w:val="Fontstyle01"/>
          <w:rFonts w:ascii="XO Thames" w:hAnsi="XO Thames"/>
          <w:color w:val="auto"/>
          <w:sz w:val="26"/>
          <w:szCs w:val="26"/>
        </w:rPr>
        <w:t>осуществлении органами местного самоуправления международных и внешнеэкономических связей в соответствии с главой 9 Федерального закона № 33-ФЗ.</w:t>
      </w:r>
    </w:p>
    <w:p>
      <w:pPr>
        <w:pStyle w:val="Normal"/>
        <w:ind w:firstLine="709"/>
        <w:jc w:val="both"/>
        <w:rPr/>
      </w:pPr>
      <w:r>
        <w:rPr>
          <w:rStyle w:val="Fontstyle01"/>
          <w:rFonts w:ascii="XO Thames" w:hAnsi="XO Thames"/>
          <w:color w:val="auto"/>
          <w:sz w:val="26"/>
          <w:szCs w:val="26"/>
        </w:rPr>
        <w:t>Заключительные положения законопроекта предусматривают признание утратившими силу действующего окружного закона № 8-оз (за исключением положений главы 1.3, действующей до 01.01.2028) и ряда других законов Ненецкого автономного округа, которыми вносились изменения в указанный закон.</w:t>
      </w:r>
    </w:p>
    <w:p>
      <w:pPr>
        <w:pStyle w:val="Normal"/>
        <w:ind w:firstLine="709"/>
        <w:jc w:val="both"/>
        <w:rPr/>
      </w:pPr>
      <w:r>
        <w:rPr>
          <w:rStyle w:val="Fontstyle01"/>
          <w:rFonts w:ascii="XO Thames" w:hAnsi="XO Thames"/>
          <w:color w:val="auto"/>
          <w:sz w:val="26"/>
          <w:szCs w:val="26"/>
        </w:rPr>
        <w:t>Законопроект вступает в силу через 10 дней после его официального опубликования, за исключением главы 2, которая вступает в силу с 1 января 2028, что согласуется с переходными положениями Федерального закона № 33-ФЗ.</w:t>
      </w:r>
    </w:p>
    <w:p>
      <w:pPr>
        <w:pStyle w:val="Normal"/>
        <w:widowControl/>
        <w:tabs>
          <w:tab w:val="clear" w:pos="708"/>
          <w:tab w:val="left" w:pos="709" w:leader="none"/>
        </w:tabs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Принятие рассматриваемого законопроекта не окажет влияние на доходы</w:t>
        <w:br/>
        <w:t xml:space="preserve">и расходы окружного бюджета. </w:t>
      </w:r>
    </w:p>
    <w:p>
      <w:pPr>
        <w:pStyle w:val="Normal"/>
        <w:widowControl/>
        <w:shd w:val="clear" w:color="auto" w:fill="FFFFFF"/>
        <w:tabs>
          <w:tab w:val="clear" w:pos="708"/>
          <w:tab w:val="left" w:pos="1134" w:leader="none"/>
        </w:tabs>
        <w:suppressAutoHyphens w:val="true"/>
        <w:bidi w:val="0"/>
        <w:spacing w:before="0" w:after="0"/>
        <w:ind w:firstLine="737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Представленный законопроект не затрагивает вопросы осуществления предпринимательской и инвестиционной деятельности, оценке регулирующего воздействия не подлежит. </w:t>
      </w:r>
    </w:p>
    <w:p>
      <w:pPr>
        <w:pStyle w:val="Normal"/>
        <w:widowControl w:val="false"/>
        <w:ind w:firstLine="709"/>
        <w:jc w:val="both"/>
        <w:rPr>
          <w:rFonts w:ascii="XO Thames" w:hAnsi="XO Thames"/>
          <w:sz w:val="26"/>
          <w:szCs w:val="26"/>
        </w:rPr>
      </w:pPr>
      <w:bookmarkStart w:id="0" w:name="_GoBack"/>
      <w:r>
        <w:rPr>
          <w:rFonts w:ascii="XO Thames" w:hAnsi="XO Thames"/>
          <w:sz w:val="26"/>
          <w:szCs w:val="26"/>
        </w:rPr>
        <w:t>Необходимость в проведении общественного обсуждения отсутствует.</w:t>
      </w:r>
      <w:bookmarkEnd w:id="0"/>
    </w:p>
    <w:p>
      <w:pPr>
        <w:pStyle w:val="Normal"/>
        <w:ind w:firstLine="709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Рассмотрение проекта закона относится к компетенции Администрации</w:t>
        <w:br/>
        <w:t>в соответствии с подпунктом «д» статьи 16 закона Ненецкого автономного округа</w:t>
        <w:br/>
        <w:t>от 06.01.2005 № 542-оз «Об Администрации Ненецкого автономного округа»,</w:t>
        <w:br/>
        <w:t>в соответствии с которым проекты законов подлежат обязательному рассмотрению</w:t>
        <w:br/>
        <w:t>на заседаниях Администрации.</w:t>
      </w:r>
    </w:p>
    <w:p>
      <w:pPr>
        <w:pStyle w:val="Normal"/>
        <w:ind w:firstLine="709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b/>
          <w:sz w:val="26"/>
          <w:szCs w:val="26"/>
        </w:rPr>
        <w:t>3. Член Администрации, ответственный за подготовку вопроса</w:t>
      </w:r>
      <w:r>
        <w:rPr>
          <w:rFonts w:ascii="XO Thames" w:hAnsi="XO Thames"/>
          <w:sz w:val="26"/>
          <w:szCs w:val="26"/>
        </w:rPr>
        <w:t>: заместитель губернатора Ненецкого автономного округа – руководитель Аппарата Администрации Ненецкого автономного округа Сидорова Наталия Александровна.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rFonts w:ascii="XO Thames" w:hAnsi="XO Thames"/>
          <w:b/>
          <w:sz w:val="26"/>
          <w:szCs w:val="26"/>
        </w:rPr>
        <w:t xml:space="preserve">4. Разработчик </w:t>
      </w:r>
      <w:r>
        <w:rPr>
          <w:b/>
          <w:sz w:val="26"/>
          <w:szCs w:val="26"/>
        </w:rPr>
        <w:t>проекта:</w:t>
      </w:r>
      <w:r>
        <w:rPr>
          <w:sz w:val="26"/>
          <w:szCs w:val="26"/>
        </w:rPr>
        <w:t xml:space="preserve"> заместитель начальника правого управления Аппарата Администрации Ненецкого автономного округа – начальник отдела законодательства в сфере государственного устройства и местного самоуправления Жукова Анна Игоревна, тел. (818-53) 2-38-76.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5. Проект предлагаемого решения: </w:t>
      </w:r>
    </w:p>
    <w:p>
      <w:pPr>
        <w:pStyle w:val="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Одобрить проект закона Ненецкого автономного округа </w:t>
      </w:r>
      <w:r>
        <w:rPr>
          <w:rFonts w:cs="Times New Roman" w:ascii="XO Thames" w:hAnsi="XO Thames"/>
          <w:b w:val="false"/>
          <w:sz w:val="26"/>
          <w:szCs w:val="26"/>
        </w:rPr>
        <w:t>«</w:t>
      </w:r>
      <w:r>
        <w:rPr>
          <w:rFonts w:cs="Times New Roman" w:ascii="XO Thames" w:hAnsi="XO Thames"/>
          <w:b w:val="false"/>
          <w:bCs w:val="false"/>
          <w:color w:val="000000"/>
          <w:sz w:val="26"/>
          <w:szCs w:val="26"/>
        </w:rPr>
        <w:t xml:space="preserve">О </w:t>
      </w:r>
      <w:r>
        <w:rPr>
          <w:rFonts w:cs="Times New Roman" w:ascii="XO Thames" w:hAnsi="XO Thames"/>
          <w:b w:val="false"/>
          <w:bCs w:val="false"/>
          <w:color w:val="000000"/>
          <w:sz w:val="26"/>
          <w:szCs w:val="26"/>
        </w:rPr>
        <w:t>регулировании отдельных вопросов организации местного самоуправления на территории Ненецкого автономного округа</w:t>
      </w:r>
      <w:r>
        <w:rPr>
          <w:rFonts w:cs="Times New Roman" w:ascii="XO Thames" w:hAnsi="XO Thames"/>
          <w:b w:val="false"/>
          <w:bCs w:val="false"/>
          <w:sz w:val="26"/>
          <w:szCs w:val="26"/>
        </w:rPr>
        <w:t xml:space="preserve">» </w:t>
      </w:r>
      <w:r>
        <w:rPr>
          <w:sz w:val="26"/>
          <w:szCs w:val="26"/>
        </w:rPr>
        <w:t>и рекомендовать губернатору Ненецкого автономного округа внести его в установленном порядке в Собрание депутатов Ненецкого автономного округа.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566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XO Thames">
    <w:charset w:val="01"/>
    <w:family w:val="roman"/>
    <w:pitch w:val="default"/>
  </w:font>
  <w:font w:name="Tahoma">
    <w:charset w:val="01"/>
    <w:family w:val="roman"/>
    <w:pitch w:val="variable"/>
  </w:font>
  <w:font w:name="TimesNewRomanPSMT">
    <w:charset w:val="01"/>
    <w:family w:val="roman"/>
    <w:pitch w:val="variable"/>
  </w:font>
  <w:font w:name="Courier New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PT Astra Serif">
    <w:charset w:val="01"/>
    <w:family w:val="roman"/>
    <w:pitch w:val="variable"/>
  </w:font>
  <w:font w:name="Arial">
    <w:charset w:val="01"/>
    <w:family w:val="roman"/>
    <w:pitch w:val="variable"/>
  </w:font>
  <w:font w:name="Arial">
    <w:charset w:val="01"/>
    <w:family w:val="swiss"/>
    <w:pitch w:val="default"/>
  </w:font>
  <w:font w:name="PT Sans">
    <w:charset w:val="01"/>
    <w:family w:val="roman"/>
    <w:pitch w:val="default"/>
  </w:font>
  <w:font w:name="XO Thames">
    <w:charset w:val="01"/>
    <w:family w:val="auto"/>
    <w:pitch w:val="variable"/>
  </w:font>
  <w:font w:name="XO Thames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471544461"/>
    </w:sdtPr>
    <w:sdtContent>
      <w:p>
        <w:pPr>
          <w:pStyle w:val="Header"/>
          <w:jc w:val="center"/>
          <w:rPr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next w:val="Normal"/>
    <w:qFormat/>
    <w:pPr>
      <w:widowControl/>
      <w:numPr>
        <w:ilvl w:val="0"/>
        <w:numId w:val="0"/>
      </w:numPr>
      <w:suppressAutoHyphens w:val="true"/>
      <w:bidi w:val="0"/>
      <w:spacing w:lineRule="auto" w:line="240" w:before="120" w:after="120"/>
      <w:ind w:hanging="0" w:left="0" w:right="0"/>
      <w:jc w:val="both"/>
      <w:outlineLvl w:val="0"/>
    </w:pPr>
    <w:rPr>
      <w:rFonts w:ascii="XO Thames" w:hAnsi="XO Thames" w:eastAsia="Noto Serif CJK SC" w:cs="FreeSans"/>
      <w:b/>
      <w:color w:val="000000"/>
      <w:spacing w:val="0"/>
      <w:kern w:val="0"/>
      <w:sz w:val="32"/>
      <w:szCs w:val="20"/>
      <w:lang w:val="ru-RU" w:eastAsia="zh-CN" w:bidi="hi-IN"/>
    </w:rPr>
  </w:style>
  <w:style w:type="paragraph" w:styleId="Heading2">
    <w:name w:val="Heading 2"/>
    <w:next w:val="Normal"/>
    <w:qFormat/>
    <w:pPr>
      <w:widowControl/>
      <w:numPr>
        <w:ilvl w:val="0"/>
        <w:numId w:val="0"/>
      </w:numPr>
      <w:suppressAutoHyphens w:val="tru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qFormat/>
    <w:pPr>
      <w:widowControl/>
      <w:numPr>
        <w:ilvl w:val="0"/>
        <w:numId w:val="0"/>
      </w:numPr>
      <w:suppressAutoHyphens w:val="tru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Noto Serif CJK SC" w:cs="FreeSans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qFormat/>
    <w:pPr>
      <w:widowControl/>
      <w:numPr>
        <w:ilvl w:val="0"/>
        <w:numId w:val="0"/>
      </w:numPr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qFormat/>
    <w:pPr>
      <w:widowControl/>
      <w:numPr>
        <w:ilvl w:val="0"/>
        <w:numId w:val="0"/>
      </w:numPr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4" w:customStyle="1">
    <w:name w:val="Верхний колонтитул Знак"/>
    <w:basedOn w:val="DefaultParagraphFont"/>
    <w:uiPriority w:val="99"/>
    <w:qFormat/>
    <w:rsid w:val="004f1593"/>
    <w:rPr>
      <w:sz w:val="24"/>
      <w:szCs w:val="24"/>
    </w:rPr>
  </w:style>
  <w:style w:type="character" w:styleId="Style5" w:customStyle="1">
    <w:name w:val="Нижний колонтитул Знак"/>
    <w:basedOn w:val="DefaultParagraphFont"/>
    <w:uiPriority w:val="99"/>
    <w:qFormat/>
    <w:rsid w:val="004f1593"/>
    <w:rPr>
      <w:sz w:val="24"/>
      <w:szCs w:val="24"/>
    </w:rPr>
  </w:style>
  <w:style w:type="character" w:styleId="Style6" w:customStyle="1">
    <w:name w:val="Текст выноски Знак"/>
    <w:basedOn w:val="DefaultParagraphFont"/>
    <w:link w:val="BalloonText1"/>
    <w:uiPriority w:val="99"/>
    <w:semiHidden/>
    <w:qFormat/>
    <w:rsid w:val="004f1593"/>
    <w:rPr>
      <w:rFonts w:ascii="Tahoma" w:hAnsi="Tahoma" w:cs="Tahoma"/>
      <w:sz w:val="16"/>
      <w:szCs w:val="16"/>
    </w:rPr>
  </w:style>
  <w:style w:type="character" w:styleId="Fontstyle01" w:customStyle="1">
    <w:name w:val="fontstyle01"/>
    <w:qFormat/>
    <w:rsid w:val="00144568"/>
    <w:rPr>
      <w:rFonts w:ascii="TimesNewRomanPSMT" w:hAnsi="TimesNewRomanPSMT"/>
      <w:b w:val="false"/>
      <w:bCs w:val="false"/>
      <w:i w:val="false"/>
      <w:iCs w:val="false"/>
      <w:color w:val="000000"/>
      <w:sz w:val="26"/>
      <w:szCs w:val="26"/>
    </w:rPr>
  </w:style>
  <w:style w:type="character" w:styleId="Textbody1">
    <w:name w:val="Text body1"/>
    <w:qFormat/>
    <w:rPr/>
  </w:style>
  <w:style w:type="character" w:styleId="Contents21">
    <w:name w:val="Contents 21"/>
    <w:qFormat/>
    <w:rPr>
      <w:rFonts w:ascii="XO Thames" w:hAnsi="XO Thames"/>
      <w:sz w:val="28"/>
    </w:rPr>
  </w:style>
  <w:style w:type="character" w:styleId="ConsPlusCell">
    <w:name w:val="ConsPlusCell"/>
    <w:qFormat/>
    <w:rPr>
      <w:rFonts w:ascii="Courier New" w:hAnsi="Courier New"/>
      <w:b w:val="false"/>
      <w:i w:val="false"/>
      <w:strike w:val="false"/>
      <w:dstrike w:val="false"/>
      <w:color w:val="000000"/>
      <w:sz w:val="20"/>
      <w:u w:val="none"/>
    </w:rPr>
  </w:style>
  <w:style w:type="character" w:styleId="Contents41">
    <w:name w:val="Contents 41"/>
    <w:qFormat/>
    <w:rPr>
      <w:rFonts w:ascii="XO Thames" w:hAnsi="XO Thames"/>
      <w:sz w:val="28"/>
    </w:rPr>
  </w:style>
  <w:style w:type="character" w:styleId="Contents61">
    <w:name w:val="Contents 61"/>
    <w:qFormat/>
    <w:rPr>
      <w:rFonts w:ascii="XO Thames" w:hAnsi="XO Thames"/>
      <w:sz w:val="28"/>
    </w:rPr>
  </w:style>
  <w:style w:type="character" w:styleId="Contents71">
    <w:name w:val="Contents 71"/>
    <w:qFormat/>
    <w:rPr>
      <w:rFonts w:ascii="XO Thames" w:hAnsi="XO Thames"/>
      <w:sz w:val="28"/>
    </w:rPr>
  </w:style>
  <w:style w:type="character" w:styleId="Endnote1">
    <w:name w:val="Endnote1"/>
    <w:qFormat/>
    <w:rPr>
      <w:rFonts w:ascii="XO Thames" w:hAnsi="XO Thames"/>
      <w:sz w:val="22"/>
    </w:rPr>
  </w:style>
  <w:style w:type="character" w:styleId="Heading32">
    <w:name w:val="Heading 32"/>
    <w:qFormat/>
    <w:rPr>
      <w:rFonts w:ascii="XO Thames" w:hAnsi="XO Thames"/>
      <w:b/>
      <w:sz w:val="26"/>
    </w:rPr>
  </w:style>
  <w:style w:type="character" w:styleId="Style7">
    <w:name w:val="Заголовок таблицы"/>
    <w:basedOn w:val="Style8"/>
    <w:qFormat/>
    <w:rPr>
      <w:b/>
    </w:rPr>
  </w:style>
  <w:style w:type="character" w:styleId="ConsPlusTextList">
    <w:name w:val="ConsPlusTextList"/>
    <w:qFormat/>
    <w:rPr>
      <w:rFonts w:ascii="Times New Roman" w:hAnsi="Times New Roman"/>
      <w:b w:val="false"/>
      <w:i w:val="false"/>
      <w:strike w:val="false"/>
      <w:dstrike w:val="false"/>
      <w:color w:val="000000"/>
      <w:sz w:val="24"/>
      <w:u w:val="none"/>
    </w:rPr>
  </w:style>
  <w:style w:type="character" w:styleId="List2">
    <w:name w:val="List2"/>
    <w:basedOn w:val="Textbody1"/>
    <w:qFormat/>
    <w:rPr/>
  </w:style>
  <w:style w:type="character" w:styleId="Contents31">
    <w:name w:val="Contents 31"/>
    <w:qFormat/>
    <w:rPr>
      <w:rFonts w:ascii="XO Thames" w:hAnsi="XO Thames"/>
      <w:sz w:val="28"/>
    </w:rPr>
  </w:style>
  <w:style w:type="character" w:styleId="Heading52">
    <w:name w:val="Heading 52"/>
    <w:qFormat/>
    <w:rPr>
      <w:rFonts w:ascii="XO Thames" w:hAnsi="XO Thames"/>
      <w:b/>
      <w:sz w:val="22"/>
    </w:rPr>
  </w:style>
  <w:style w:type="character" w:styleId="Heading12">
    <w:name w:val="Heading 12"/>
    <w:qFormat/>
    <w:rPr>
      <w:rFonts w:ascii="XO Thames" w:hAnsi="XO Thames"/>
      <w:b/>
      <w:sz w:val="32"/>
    </w:rPr>
  </w:style>
  <w:style w:type="character" w:styleId="Footnote1">
    <w:name w:val="Footnote1"/>
    <w:qFormat/>
    <w:rPr>
      <w:rFonts w:ascii="XO Thames" w:hAnsi="XO Thames"/>
      <w:sz w:val="22"/>
    </w:rPr>
  </w:style>
  <w:style w:type="character" w:styleId="Contents11">
    <w:name w:val="Contents 11"/>
    <w:qFormat/>
    <w:rPr>
      <w:rFonts w:ascii="XO Thames" w:hAnsi="XO Thames"/>
      <w:b/>
      <w:sz w:val="28"/>
    </w:rPr>
  </w:style>
  <w:style w:type="character" w:styleId="Contents91">
    <w:name w:val="Contents 91"/>
    <w:qFormat/>
    <w:rPr>
      <w:rFonts w:ascii="XO Thames" w:hAnsi="XO Thames"/>
      <w:sz w:val="28"/>
    </w:rPr>
  </w:style>
  <w:style w:type="character" w:styleId="ConsPlusJurTerm">
    <w:name w:val="ConsPlusJurTerm"/>
    <w:qFormat/>
    <w:rPr>
      <w:rFonts w:ascii="Tahoma" w:hAnsi="Tahoma"/>
      <w:b w:val="false"/>
      <w:i w:val="false"/>
      <w:strike w:val="false"/>
      <w:dstrike w:val="false"/>
      <w:color w:val="000000"/>
      <w:sz w:val="26"/>
      <w:u w:val="none"/>
    </w:rPr>
  </w:style>
  <w:style w:type="character" w:styleId="Contents81">
    <w:name w:val="Contents 81"/>
    <w:qFormat/>
    <w:rPr>
      <w:rFonts w:ascii="XO Thames" w:hAnsi="XO Thames"/>
      <w:sz w:val="28"/>
    </w:rPr>
  </w:style>
  <w:style w:type="character" w:styleId="Header2">
    <w:name w:val="Header2"/>
    <w:basedOn w:val="Style10"/>
    <w:qFormat/>
    <w:rPr/>
  </w:style>
  <w:style w:type="character" w:styleId="Style8">
    <w:name w:val="Содержимое таблицы"/>
    <w:qFormat/>
    <w:rPr/>
  </w:style>
  <w:style w:type="character" w:styleId="Contents51">
    <w:name w:val="Contents 51"/>
    <w:qFormat/>
    <w:rPr>
      <w:rFonts w:ascii="XO Thames" w:hAnsi="XO Thames"/>
      <w:sz w:val="28"/>
    </w:rPr>
  </w:style>
  <w:style w:type="character" w:styleId="ConsPlusNonformat">
    <w:name w:val="ConsPlusNonformat"/>
    <w:qFormat/>
    <w:rPr>
      <w:rFonts w:ascii="Courier New" w:hAnsi="Courier New"/>
      <w:b w:val="false"/>
      <w:i w:val="false"/>
      <w:strike w:val="false"/>
      <w:dstrike w:val="false"/>
      <w:color w:val="000000"/>
      <w:sz w:val="20"/>
      <w:u w:val="none"/>
    </w:rPr>
  </w:style>
  <w:style w:type="character" w:styleId="Subtitle2">
    <w:name w:val="Subtitle2"/>
    <w:qFormat/>
    <w:rPr>
      <w:rFonts w:ascii="XO Thames" w:hAnsi="XO Thames"/>
      <w:i/>
      <w:sz w:val="24"/>
    </w:rPr>
  </w:style>
  <w:style w:type="character" w:styleId="ConsPlusDocList">
    <w:name w:val="ConsPlusDocList"/>
    <w:qFormat/>
    <w:rPr>
      <w:rFonts w:ascii="Tahoma" w:hAnsi="Tahoma"/>
      <w:b w:val="false"/>
      <w:i w:val="false"/>
      <w:strike w:val="false"/>
      <w:dstrike w:val="false"/>
      <w:color w:val="000000"/>
      <w:sz w:val="18"/>
      <w:u w:val="none"/>
    </w:rPr>
  </w:style>
  <w:style w:type="character" w:styleId="Title2">
    <w:name w:val="Title2"/>
    <w:qFormat/>
    <w:rPr>
      <w:rFonts w:ascii="XO Thames" w:hAnsi="XO Thames"/>
      <w:b/>
      <w:caps/>
      <w:sz w:val="40"/>
    </w:rPr>
  </w:style>
  <w:style w:type="character" w:styleId="Heading42">
    <w:name w:val="Heading 42"/>
    <w:qFormat/>
    <w:rPr>
      <w:rFonts w:ascii="XO Thames" w:hAnsi="XO Thames"/>
      <w:b/>
      <w:sz w:val="24"/>
    </w:rPr>
  </w:style>
  <w:style w:type="character" w:styleId="Caption2">
    <w:name w:val="Caption2"/>
    <w:qFormat/>
    <w:rPr>
      <w:i/>
      <w:sz w:val="24"/>
    </w:rPr>
  </w:style>
  <w:style w:type="character" w:styleId="Heading22">
    <w:name w:val="Heading 22"/>
    <w:qFormat/>
    <w:rPr>
      <w:rFonts w:ascii="XO Thames" w:hAnsi="XO Thames"/>
      <w:b/>
      <w:sz w:val="28"/>
    </w:rPr>
  </w:style>
  <w:style w:type="character" w:styleId="Footer2">
    <w:name w:val="Footer2"/>
    <w:basedOn w:val="Style10"/>
    <w:qFormat/>
    <w:rPr/>
  </w:style>
  <w:style w:type="character" w:styleId="Header1">
    <w:name w:val="Header1"/>
    <w:qFormat/>
    <w:rPr/>
  </w:style>
  <w:style w:type="character" w:styleId="Heading21">
    <w:name w:val="Heading 21"/>
    <w:qFormat/>
    <w:rPr>
      <w:rFonts w:ascii="XO Thames" w:hAnsi="XO Thames"/>
      <w:b/>
      <w:sz w:val="28"/>
    </w:rPr>
  </w:style>
  <w:style w:type="character" w:styleId="Caption1">
    <w:name w:val="Caption1"/>
    <w:qFormat/>
    <w:rPr>
      <w:rFonts w:ascii="PT Astra Serif" w:hAnsi="PT Astra Serif"/>
      <w:i/>
      <w:sz w:val="24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Annotationreference">
    <w:name w:val="annotation reference"/>
    <w:basedOn w:val="DefaultParagraphFont"/>
    <w:qFormat/>
    <w:rPr>
      <w:sz w:val="16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Style9">
    <w:name w:val="Указатель"/>
    <w:qFormat/>
    <w:rPr>
      <w:rFonts w:ascii="PT Astra Serif" w:hAnsi="PT Astra Serif"/>
    </w:rPr>
  </w:style>
  <w:style w:type="character" w:styleId="Contents5WW">
    <w:name w:val="Contents 5 (WW)"/>
    <w:qFormat/>
    <w:rPr>
      <w:rFonts w:ascii="XO Thames" w:hAnsi="XO Thames"/>
      <w:sz w:val="28"/>
    </w:rPr>
  </w:style>
  <w:style w:type="character" w:styleId="MarginaliaWW">
    <w:name w:val="Marginalia (WW)"/>
    <w:qFormat/>
    <w:rPr>
      <w:sz w:val="20"/>
    </w:rPr>
  </w:style>
  <w:style w:type="character" w:styleId="Contents8WW">
    <w:name w:val="Contents 8 (WW)"/>
    <w:qFormat/>
    <w:rPr>
      <w:rFonts w:ascii="XO Thames" w:hAnsi="XO Thames"/>
      <w:sz w:val="28"/>
    </w:rPr>
  </w:style>
  <w:style w:type="character" w:styleId="ListParagraph">
    <w:name w:val="List Paragraph"/>
    <w:qFormat/>
    <w:rPr/>
  </w:style>
  <w:style w:type="character" w:styleId="Contents9WW">
    <w:name w:val="Contents 9 (WW)"/>
    <w:qFormat/>
    <w:rPr>
      <w:rFonts w:ascii="XO Thames" w:hAnsi="XO Thames"/>
      <w:sz w:val="28"/>
    </w:rPr>
  </w:style>
  <w:style w:type="character" w:styleId="ConsPlusTitlePage">
    <w:name w:val="ConsPlusTitlePage"/>
    <w:qFormat/>
    <w:rPr>
      <w:rFonts w:ascii="Tahoma" w:hAnsi="Tahoma"/>
      <w:color w:val="000000"/>
      <w:sz w:val="20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Contents1WW">
    <w:name w:val="Contents 1 (WW)"/>
    <w:qFormat/>
    <w:rPr>
      <w:rFonts w:ascii="XO Thames" w:hAnsi="XO Thames"/>
      <w:b/>
      <w:sz w:val="28"/>
    </w:rPr>
  </w:style>
  <w:style w:type="character" w:styleId="FootnoteWW">
    <w:name w:val="Footnote (WW)"/>
    <w:qFormat/>
    <w:rPr>
      <w:rFonts w:ascii="XO Thames" w:hAnsi="XO Thames"/>
      <w:sz w:val="22"/>
    </w:rPr>
  </w:style>
  <w:style w:type="character" w:styleId="Hyperlink">
    <w:name w:val="Hyperlink"/>
    <w:rPr>
      <w:color w:val="000080"/>
      <w:u w:val="single"/>
    </w:rPr>
  </w:style>
  <w:style w:type="character" w:styleId="Style10">
    <w:name w:val="Колонтитул"/>
    <w:qFormat/>
    <w:rPr/>
  </w:style>
  <w:style w:type="character" w:styleId="Heading11">
    <w:name w:val="Heading 11"/>
    <w:qFormat/>
    <w:rPr>
      <w:rFonts w:ascii="XO Thames" w:hAnsi="XO Thames"/>
      <w:b/>
      <w:sz w:val="32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List1">
    <w:name w:val="List1"/>
    <w:basedOn w:val="TextbodyWW"/>
    <w:qFormat/>
    <w:rPr>
      <w:rFonts w:ascii="PT Astra Serif" w:hAnsi="PT Astra Serif"/>
    </w:rPr>
  </w:style>
  <w:style w:type="character" w:styleId="ConsPlusNormal">
    <w:name w:val="ConsPlusNormal"/>
    <w:qFormat/>
    <w:rPr>
      <w:rFonts w:ascii="Calibri" w:hAnsi="Calibri"/>
      <w:color w:val="000000"/>
      <w:sz w:val="22"/>
    </w:rPr>
  </w:style>
  <w:style w:type="character" w:styleId="Contents3WW">
    <w:name w:val="Contents 3 (WW)"/>
    <w:qFormat/>
    <w:rPr>
      <w:rFonts w:ascii="XO Thames" w:hAnsi="XO Thames"/>
      <w:sz w:val="28"/>
    </w:rPr>
  </w:style>
  <w:style w:type="character" w:styleId="Footer1">
    <w:name w:val="Footer1"/>
    <w:qFormat/>
    <w:rPr/>
  </w:style>
  <w:style w:type="character" w:styleId="ConsPlusTitle">
    <w:name w:val="ConsPlusTitle"/>
    <w:qFormat/>
    <w:rPr>
      <w:rFonts w:ascii="Calibri" w:hAnsi="Calibri"/>
      <w:b/>
      <w:color w:val="000000"/>
      <w:sz w:val="22"/>
    </w:rPr>
  </w:style>
  <w:style w:type="character" w:styleId="TextbodyWW">
    <w:name w:val="Text body (WW)"/>
    <w:qFormat/>
    <w:rPr/>
  </w:style>
  <w:style w:type="character" w:styleId="Heading31">
    <w:name w:val="Heading 31"/>
    <w:qFormat/>
    <w:rPr>
      <w:rFonts w:ascii="XO Thames" w:hAnsi="XO Thames"/>
      <w:b/>
      <w:sz w:val="26"/>
    </w:rPr>
  </w:style>
  <w:style w:type="character" w:styleId="EndnoteWW">
    <w:name w:val="Endnote (WW)"/>
    <w:qFormat/>
    <w:rPr>
      <w:rFonts w:ascii="XO Thames" w:hAnsi="XO Thames"/>
      <w:sz w:val="22"/>
    </w:rPr>
  </w:style>
  <w:style w:type="character" w:styleId="BalloonText">
    <w:name w:val="Balloon Text"/>
    <w:qFormat/>
    <w:rPr>
      <w:rFonts w:ascii="Tahoma" w:hAnsi="Tahoma"/>
      <w:sz w:val="16"/>
    </w:rPr>
  </w:style>
  <w:style w:type="character" w:styleId="Contents7WW">
    <w:name w:val="Contents 7 (WW)"/>
    <w:qFormat/>
    <w:rPr>
      <w:rFonts w:ascii="XO Thames" w:hAnsi="XO Thames"/>
      <w:sz w:val="28"/>
    </w:rPr>
  </w:style>
  <w:style w:type="character" w:styleId="Contents6WW">
    <w:name w:val="Contents 6 (WW)"/>
    <w:qFormat/>
    <w:rPr>
      <w:rFonts w:ascii="XO Thames" w:hAnsi="XO Thames"/>
      <w:sz w:val="28"/>
    </w:rPr>
  </w:style>
  <w:style w:type="character" w:styleId="Contents4WW">
    <w:name w:val="Contents 4 (WW)"/>
    <w:qFormat/>
    <w:rPr>
      <w:rFonts w:ascii="XO Thames" w:hAnsi="XO Thames"/>
      <w:sz w:val="28"/>
    </w:rPr>
  </w:style>
  <w:style w:type="character" w:styleId="Style11">
    <w:name w:val="Заголовок"/>
    <w:qFormat/>
    <w:rPr>
      <w:rFonts w:ascii="PT Astra Serif" w:hAnsi="PT Astra Serif"/>
      <w:sz w:val="28"/>
    </w:rPr>
  </w:style>
  <w:style w:type="character" w:styleId="Contents2WW">
    <w:name w:val="Contents 2 (WW)"/>
    <w:qFormat/>
    <w:rPr>
      <w:rFonts w:ascii="XO Thames" w:hAnsi="XO Thames"/>
      <w:sz w:val="28"/>
    </w:rPr>
  </w:style>
  <w:style w:type="paragraph" w:styleId="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11" w:customStyle="1">
    <w:name w:val="Указатель1"/>
    <w:basedOn w:val="Normal"/>
    <w:qFormat/>
    <w:pPr>
      <w:suppressLineNumbers/>
    </w:pPr>
    <w:rPr>
      <w:rFonts w:ascii="PT Astra Serif" w:hAnsi="PT Astra Serif" w:cs="FreeSans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Title1" w:customStyle="1">
    <w:name w:val="ConsPlusTitle1"/>
    <w:uiPriority w:val="99"/>
    <w:qFormat/>
    <w:rsid w:val="009a23d1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styleId="ConsPlusNormal1" w:customStyle="1">
    <w:name w:val="ConsPlusNormal1"/>
    <w:qFormat/>
    <w:rsid w:val="001b3b66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ListParagraph1">
    <w:name w:val="List Paragraph1"/>
    <w:basedOn w:val="Normal"/>
    <w:uiPriority w:val="34"/>
    <w:qFormat/>
    <w:rsid w:val="009f550a"/>
    <w:pPr>
      <w:spacing w:before="0" w:after="0"/>
      <w:ind w:left="720"/>
      <w:contextualSpacing/>
    </w:pPr>
    <w:rPr/>
  </w:style>
  <w:style w:type="paragraph" w:styleId="12" w:customStyle="1">
    <w:name w:val="Колонтитул1"/>
    <w:basedOn w:val="Normal"/>
    <w:qFormat/>
    <w:pPr/>
    <w:rPr/>
  </w:style>
  <w:style w:type="paragraph" w:styleId="Header">
    <w:name w:val="Header"/>
    <w:basedOn w:val="Normal"/>
    <w:link w:val="Style4"/>
    <w:uiPriority w:val="99"/>
    <w:unhideWhenUsed/>
    <w:rsid w:val="004f159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5"/>
    <w:uiPriority w:val="99"/>
    <w:unhideWhenUsed/>
    <w:rsid w:val="004f1593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1">
    <w:name w:val="Balloon Text1"/>
    <w:basedOn w:val="Normal"/>
    <w:link w:val="Style6"/>
    <w:uiPriority w:val="99"/>
    <w:semiHidden/>
    <w:unhideWhenUsed/>
    <w:qFormat/>
    <w:rsid w:val="004f1593"/>
    <w:pPr/>
    <w:rPr>
      <w:rFonts w:ascii="Tahoma" w:hAnsi="Tahoma" w:cs="Tahoma"/>
      <w:sz w:val="16"/>
      <w:szCs w:val="16"/>
    </w:rPr>
  </w:style>
  <w:style w:type="paragraph" w:styleId="ConsPlusCell1">
    <w:name w:val="ConsPlusCell1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Noto Serif CJK SC" w:cs="FreeSans"/>
      <w:b w:val="false"/>
      <w:i w:val="false"/>
      <w:strike w:val="false"/>
      <w:dstrike w:val="false"/>
      <w:color w:val="000000"/>
      <w:kern w:val="0"/>
      <w:sz w:val="20"/>
      <w:szCs w:val="20"/>
      <w:u w:val="none"/>
      <w:lang w:val="ru-RU" w:eastAsia="zh-CN" w:bidi="hi-IN"/>
    </w:rPr>
  </w:style>
  <w:style w:type="paragraph" w:styleId="ConsPlusNormal2">
    <w:name w:val="ConsPlusNormal2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b w:val="false"/>
      <w:i w:val="false"/>
      <w:strike w:val="false"/>
      <w:dstrike w:val="false"/>
      <w:color w:val="000000"/>
      <w:kern w:val="0"/>
      <w:sz w:val="24"/>
      <w:szCs w:val="20"/>
      <w:u w:val="none"/>
      <w:lang w:val="ru-RU" w:eastAsia="zh-CN" w:bidi="hi-IN"/>
    </w:rPr>
  </w:style>
  <w:style w:type="paragraph" w:styleId="Endnote2">
    <w:name w:val="Endnote2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kern w:val="0"/>
      <w:sz w:val="22"/>
      <w:szCs w:val="20"/>
      <w:lang w:val="ru-RU" w:eastAsia="zh-CN" w:bidi="hi-IN"/>
    </w:rPr>
  </w:style>
  <w:style w:type="paragraph" w:styleId="13">
    <w:name w:val="Заголовок таблицы1"/>
    <w:basedOn w:val="14"/>
    <w:qFormat/>
    <w:pPr>
      <w:widowControl/>
      <w:jc w:val="center"/>
    </w:pPr>
    <w:rPr>
      <w:b/>
    </w:rPr>
  </w:style>
  <w:style w:type="paragraph" w:styleId="14">
    <w:name w:val="Содержимое таблицы1"/>
    <w:basedOn w:val="Normal"/>
    <w:qFormat/>
    <w:pPr>
      <w:widowControl w:val="false"/>
      <w:suppressLineNumbers/>
    </w:pPr>
    <w:rPr/>
  </w:style>
  <w:style w:type="paragraph" w:styleId="ConsPlusTextList1">
    <w:name w:val="ConsPlusTextList1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b w:val="false"/>
      <w:i w:val="false"/>
      <w:strike w:val="false"/>
      <w:dstrike w:val="false"/>
      <w:color w:val="000000"/>
      <w:kern w:val="0"/>
      <w:sz w:val="24"/>
      <w:szCs w:val="20"/>
      <w:u w:val="none"/>
      <w:lang w:val="ru-RU" w:eastAsia="zh-CN" w:bidi="hi-IN"/>
    </w:rPr>
  </w:style>
  <w:style w:type="paragraph" w:styleId="Internetlink1">
    <w:name w:val="Internet link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color w:val="000080"/>
      <w:kern w:val="0"/>
      <w:sz w:val="22"/>
      <w:szCs w:val="20"/>
      <w:u w:val="single"/>
      <w:lang w:val="ru-RU" w:eastAsia="zh-CN" w:bidi="hi-IN"/>
    </w:rPr>
  </w:style>
  <w:style w:type="paragraph" w:styleId="Footnote2">
    <w:name w:val="Footnote2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kern w:val="0"/>
      <w:sz w:val="22"/>
      <w:szCs w:val="20"/>
      <w:lang w:val="ru-RU" w:eastAsia="zh-CN" w:bidi="hi-IN"/>
    </w:rPr>
  </w:style>
  <w:style w:type="paragraph" w:styleId="ConsPlusTitle2">
    <w:name w:val="ConsPlusTitle2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Arial" w:hAnsi="Arial" w:eastAsia="Noto Serif CJK SC" w:cs="FreeSans"/>
      <w:b/>
      <w:i w:val="false"/>
      <w:strike w:val="false"/>
      <w:dstrike w:val="false"/>
      <w:color w:val="000000"/>
      <w:kern w:val="0"/>
      <w:sz w:val="24"/>
      <w:szCs w:val="20"/>
      <w:u w:val="none"/>
      <w:lang w:val="ru-RU" w:eastAsia="zh-CN" w:bidi="hi-IN"/>
    </w:rPr>
  </w:style>
  <w:style w:type="paragraph" w:styleId="ConsPlusJurTerm1">
    <w:name w:val="ConsPlusJurTerm1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Tahoma" w:hAnsi="Tahoma" w:eastAsia="Noto Serif CJK SC" w:cs="FreeSans"/>
      <w:b w:val="false"/>
      <w:i w:val="false"/>
      <w:strike w:val="false"/>
      <w:dstrike w:val="false"/>
      <w:color w:val="000000"/>
      <w:kern w:val="0"/>
      <w:sz w:val="26"/>
      <w:szCs w:val="20"/>
      <w:u w:val="none"/>
      <w:lang w:val="ru-RU" w:eastAsia="zh-CN" w:bidi="hi-IN"/>
    </w:rPr>
  </w:style>
  <w:style w:type="paragraph" w:styleId="ConsPlusTitlePage2">
    <w:name w:val="ConsPlusTitlePage2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Tahoma" w:hAnsi="Tahoma" w:eastAsia="Noto Serif CJK SC" w:cs="FreeSans"/>
      <w:b w:val="false"/>
      <w:i w:val="false"/>
      <w:strike w:val="false"/>
      <w:dstrike w:val="false"/>
      <w:color w:val="000000"/>
      <w:kern w:val="0"/>
      <w:sz w:val="24"/>
      <w:szCs w:val="20"/>
      <w:u w:val="none"/>
      <w:lang w:val="ru-RU" w:eastAsia="zh-CN" w:bidi="hi-IN"/>
    </w:rPr>
  </w:style>
  <w:style w:type="paragraph" w:styleId="ConsPlusNonformat1">
    <w:name w:val="ConsPlusNonformat1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Noto Serif CJK SC" w:cs="FreeSans"/>
      <w:b w:val="false"/>
      <w:i w:val="false"/>
      <w:strike w:val="false"/>
      <w:dstrike w:val="false"/>
      <w:color w:val="000000"/>
      <w:kern w:val="0"/>
      <w:sz w:val="20"/>
      <w:szCs w:val="20"/>
      <w:u w:val="none"/>
      <w:lang w:val="ru-RU" w:eastAsia="zh-CN" w:bidi="hi-IN"/>
    </w:rPr>
  </w:style>
  <w:style w:type="paragraph" w:styleId="ConsPlusDocList1">
    <w:name w:val="ConsPlusDocList1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Tahoma" w:hAnsi="Tahoma" w:eastAsia="Noto Serif CJK SC" w:cs="FreeSans"/>
      <w:b w:val="false"/>
      <w:i w:val="false"/>
      <w:strike w:val="false"/>
      <w:dstrike w:val="false"/>
      <w:color w:val="000000"/>
      <w:kern w:val="0"/>
      <w:sz w:val="18"/>
      <w:szCs w:val="20"/>
      <w:u w:val="none"/>
      <w:lang w:val="ru-RU" w:eastAsia="zh-CN" w:bidi="hi-IN"/>
    </w:rPr>
  </w:style>
  <w:style w:type="paragraph" w:styleId="Title">
    <w:name w:val="Title"/>
    <w:next w:val="Normal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Annotationreference1">
    <w:name w:val="annotation reference1"/>
    <w:basedOn w:val="DefaultParagraphFont1"/>
    <w:qFormat/>
    <w:pPr/>
    <w:rPr>
      <w:sz w:val="16"/>
    </w:rPr>
  </w:style>
  <w:style w:type="paragraph" w:styleId="Subtitle">
    <w:name w:val="Subtitle"/>
    <w:next w:val="Normal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OC5">
    <w:name w:val="TOC 5"/>
    <w:next w:val="Normal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Annotationtext1">
    <w:name w:val="annotation text1"/>
    <w:basedOn w:val="Normal"/>
    <w:qFormat/>
    <w:pPr>
      <w:widowControl/>
      <w:spacing w:lineRule="auto" w:line="240" w:before="0" w:after="0"/>
    </w:pPr>
    <w:rPr>
      <w:sz w:val="20"/>
    </w:rPr>
  </w:style>
  <w:style w:type="paragraph" w:styleId="TOC8">
    <w:name w:val="TOC 8"/>
    <w:next w:val="Normal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5">
    <w:name w:val="Верхний колонтитул Знак1"/>
    <w:basedOn w:val="DefaultParagraphFont1"/>
    <w:qFormat/>
    <w:pPr/>
    <w:rPr/>
  </w:style>
  <w:style w:type="paragraph" w:styleId="ListParagraph11">
    <w:name w:val="List Paragraph11"/>
    <w:basedOn w:val="Normal"/>
    <w:qFormat/>
    <w:pPr>
      <w:widowControl/>
      <w:spacing w:before="0" w:after="200"/>
      <w:ind w:left="720"/>
      <w:contextualSpacing/>
    </w:pPr>
    <w:rPr/>
  </w:style>
  <w:style w:type="paragraph" w:styleId="TOC9">
    <w:name w:val="TOC 9"/>
    <w:next w:val="Normal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TitlePage1">
    <w:name w:val="ConsPlusTitlePage1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Tahoma" w:hAnsi="Tahoma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1">
    <w:name w:val="TOC 1"/>
    <w:next w:val="Normal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">
    <w:name w:val="Footnote1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InternetlinkWW">
    <w:name w:val="Internet link (WW)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color w:val="000080"/>
      <w:spacing w:val="0"/>
      <w:kern w:val="0"/>
      <w:sz w:val="22"/>
      <w:szCs w:val="20"/>
      <w:u w:val="single"/>
      <w:lang w:val="ru-RU" w:eastAsia="zh-CN" w:bidi="hi-IN"/>
    </w:rPr>
  </w:style>
  <w:style w:type="paragraph" w:styleId="ConsPlusNormal11">
    <w:name w:val="ConsPlusNormal11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3">
    <w:name w:val="TOC 3"/>
    <w:next w:val="Normal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">
    <w:name w:val="Default Paragraph Font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141">
    <w:name w:val="Колонтитул14"/>
    <w:basedOn w:val="Normal"/>
    <w:qFormat/>
    <w:pPr/>
    <w:rPr/>
  </w:style>
  <w:style w:type="paragraph" w:styleId="131">
    <w:name w:val="Колонтитул13"/>
    <w:basedOn w:val="Normal"/>
    <w:qFormat/>
    <w:pPr/>
    <w:rPr/>
  </w:style>
  <w:style w:type="paragraph" w:styleId="121">
    <w:name w:val="Колонтитул12"/>
    <w:basedOn w:val="Normal"/>
    <w:qFormat/>
    <w:pPr/>
    <w:rPr/>
  </w:style>
  <w:style w:type="paragraph" w:styleId="111">
    <w:name w:val="Колонтитул11"/>
    <w:basedOn w:val="Normal"/>
    <w:qFormat/>
    <w:pPr/>
    <w:rPr/>
  </w:style>
  <w:style w:type="paragraph" w:styleId="10">
    <w:name w:val="Колонтитул10"/>
    <w:basedOn w:val="Normal"/>
    <w:qFormat/>
    <w:pPr/>
    <w:rPr/>
  </w:style>
  <w:style w:type="paragraph" w:styleId="9">
    <w:name w:val="Колонтитул9"/>
    <w:basedOn w:val="Normal"/>
    <w:qFormat/>
    <w:pPr/>
    <w:rPr/>
  </w:style>
  <w:style w:type="paragraph" w:styleId="8">
    <w:name w:val="Колонтитул8"/>
    <w:basedOn w:val="Normal"/>
    <w:qFormat/>
    <w:pPr/>
    <w:rPr/>
  </w:style>
  <w:style w:type="paragraph" w:styleId="7">
    <w:name w:val="Колонтитул7"/>
    <w:basedOn w:val="Normal"/>
    <w:qFormat/>
    <w:pPr/>
    <w:rPr/>
  </w:style>
  <w:style w:type="paragraph" w:styleId="6">
    <w:name w:val="Колонтитул6"/>
    <w:basedOn w:val="Normal"/>
    <w:qFormat/>
    <w:pPr/>
    <w:rPr/>
  </w:style>
  <w:style w:type="paragraph" w:styleId="5">
    <w:name w:val="Колонтитул5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andFooter2">
    <w:name w:val="Header and Footer2"/>
    <w:basedOn w:val="Normal"/>
    <w:qFormat/>
    <w:pPr/>
    <w:rPr/>
  </w:style>
  <w:style w:type="paragraph" w:styleId="4">
    <w:name w:val="Колонтитул4"/>
    <w:basedOn w:val="Normal"/>
    <w:qFormat/>
    <w:pPr/>
    <w:rPr/>
  </w:style>
  <w:style w:type="paragraph" w:styleId="3">
    <w:name w:val="Колонтитул3"/>
    <w:basedOn w:val="Normal"/>
    <w:qFormat/>
    <w:pPr/>
    <w:rPr/>
  </w:style>
  <w:style w:type="paragraph" w:styleId="2">
    <w:name w:val="Колонтитул2"/>
    <w:basedOn w:val="Normal"/>
    <w:qFormat/>
    <w:pPr/>
    <w:rPr/>
  </w:style>
  <w:style w:type="paragraph" w:styleId="HeaderandFooter1">
    <w:name w:val="Header and Footer1"/>
    <w:basedOn w:val="Normal"/>
    <w:qFormat/>
    <w:pPr/>
    <w:rPr/>
  </w:style>
  <w:style w:type="paragraph" w:styleId="151">
    <w:name w:val="Колонтитул15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Title11">
    <w:name w:val="ConsPlusTitle11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16">
    <w:name w:val="Нижний колонтитул Знак1"/>
    <w:basedOn w:val="DefaultParagraphFont1"/>
    <w:qFormat/>
    <w:pPr/>
    <w:rPr/>
  </w:style>
  <w:style w:type="paragraph" w:styleId="Endnote11">
    <w:name w:val="Endnote1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BalloonText11">
    <w:name w:val="Balloon Text11"/>
    <w:basedOn w:val="Normal"/>
    <w:qFormat/>
    <w:pPr>
      <w:widowControl/>
      <w:spacing w:lineRule="auto" w:line="240" w:before="0" w:after="0"/>
    </w:pPr>
    <w:rPr>
      <w:rFonts w:ascii="Tahoma" w:hAnsi="Tahoma"/>
      <w:sz w:val="16"/>
    </w:rPr>
  </w:style>
  <w:style w:type="paragraph" w:styleId="TOC7">
    <w:name w:val="TOC 7"/>
    <w:next w:val="Normal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2">
    <w:name w:val="TOC 2"/>
    <w:next w:val="Normal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1111111111111111">
    <w:name w:val="Указатель11111111111111111"/>
    <w:basedOn w:val="Normal"/>
    <w:qFormat/>
    <w:pPr/>
    <w:rPr>
      <w:rFonts w:ascii="PT Astra Serif" w:hAnsi="PT Astra Serif"/>
    </w:rPr>
  </w:style>
  <w:style w:type="paragraph" w:styleId="111111111111111111">
    <w:name w:val="Заголовок11111111111111111"/>
    <w:basedOn w:val="Normal"/>
    <w:next w:val="BodyText"/>
    <w:qFormat/>
    <w:pPr>
      <w:keepNext w:val="true"/>
      <w:widowControl/>
      <w:spacing w:before="240" w:after="120"/>
    </w:pPr>
    <w:rPr>
      <w:rFonts w:ascii="PT Astra Serif" w:hAnsi="PT Astra Serif"/>
      <w:sz w:val="28"/>
    </w:rPr>
  </w:style>
  <w:style w:type="paragraph" w:styleId="1111111111111111">
    <w:name w:val="Указатель1111111111111111"/>
    <w:basedOn w:val="Normal"/>
    <w:qFormat/>
    <w:pPr>
      <w:suppressLineNumbers/>
    </w:pPr>
    <w:rPr>
      <w:rFonts w:ascii="PT Astra Serif" w:hAnsi="PT Astra Serif" w:cs="FreeSans"/>
    </w:rPr>
  </w:style>
  <w:style w:type="paragraph" w:styleId="Caption31">
    <w:name w:val="caption31"/>
    <w:basedOn w:val="Normal"/>
    <w:qFormat/>
    <w:pPr>
      <w:widowControl/>
      <w:spacing w:before="120" w:after="120"/>
    </w:pPr>
    <w:rPr>
      <w:rFonts w:ascii="PT Astra Serif" w:hAnsi="PT Astra Serif"/>
      <w:i/>
      <w:sz w:val="24"/>
    </w:rPr>
  </w:style>
  <w:style w:type="paragraph" w:styleId="11111111111111112">
    <w:name w:val="Заголовок111111111111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111111111111111">
    <w:name w:val="Указатель111111111111111"/>
    <w:basedOn w:val="Normal"/>
    <w:qFormat/>
    <w:pPr>
      <w:suppressLineNumbers/>
    </w:pPr>
    <w:rPr>
      <w:rFonts w:cs="FreeSans"/>
    </w:rPr>
  </w:style>
  <w:style w:type="paragraph" w:styleId="1111111111111112">
    <w:name w:val="Заголовок111111111111111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11111111111111">
    <w:name w:val="Указатель11111111111111"/>
    <w:basedOn w:val="Normal"/>
    <w:qFormat/>
    <w:pPr>
      <w:suppressLineNumbers/>
    </w:pPr>
    <w:rPr>
      <w:rFonts w:cs="FreeSans"/>
    </w:rPr>
  </w:style>
  <w:style w:type="paragraph" w:styleId="111111111111112">
    <w:name w:val="Заголовок11111111111111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1111111111111">
    <w:name w:val="Указатель1111111111111"/>
    <w:basedOn w:val="Normal"/>
    <w:qFormat/>
    <w:pPr>
      <w:suppressLineNumbers/>
    </w:pPr>
    <w:rPr>
      <w:rFonts w:cs="FreeSans"/>
    </w:rPr>
  </w:style>
  <w:style w:type="paragraph" w:styleId="11111111111112">
    <w:name w:val="Заголовок1111111111111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111111111111">
    <w:name w:val="Указатель111111111111"/>
    <w:basedOn w:val="Normal"/>
    <w:qFormat/>
    <w:pPr>
      <w:suppressLineNumbers/>
    </w:pPr>
    <w:rPr>
      <w:rFonts w:ascii="PT Astra Serif" w:hAnsi="PT Astra Serif" w:cs="FreeSans"/>
    </w:rPr>
  </w:style>
  <w:style w:type="paragraph" w:styleId="1111111111112">
    <w:name w:val="Заголовок11111111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11111111111">
    <w:name w:val="Указатель11111111111"/>
    <w:basedOn w:val="Normal"/>
    <w:qFormat/>
    <w:pPr>
      <w:suppressLineNumbers/>
    </w:pPr>
    <w:rPr>
      <w:rFonts w:ascii="PT Astra Serif" w:hAnsi="PT Astra Serif" w:cs="FreeSans"/>
    </w:rPr>
  </w:style>
  <w:style w:type="paragraph" w:styleId="Caption3">
    <w:name w:val="caption3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111111111112">
    <w:name w:val="Заголовок11111111111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1111111111">
    <w:name w:val="Указатель1111111111"/>
    <w:basedOn w:val="Normal"/>
    <w:qFormat/>
    <w:pPr>
      <w:suppressLineNumbers/>
    </w:pPr>
    <w:rPr>
      <w:rFonts w:cs="FreeSans"/>
    </w:rPr>
  </w:style>
  <w:style w:type="paragraph" w:styleId="11111111112">
    <w:name w:val="Заголовок1111111111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111111111">
    <w:name w:val="Указатель111111111"/>
    <w:basedOn w:val="Normal"/>
    <w:qFormat/>
    <w:pPr>
      <w:suppressLineNumbers/>
    </w:pPr>
    <w:rPr>
      <w:rFonts w:cs="FreeSans"/>
    </w:rPr>
  </w:style>
  <w:style w:type="paragraph" w:styleId="1111111112">
    <w:name w:val="Заголовок111111111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11111111">
    <w:name w:val="Указатель11111111"/>
    <w:basedOn w:val="Normal"/>
    <w:qFormat/>
    <w:pPr>
      <w:suppressLineNumbers/>
    </w:pPr>
    <w:rPr>
      <w:rFonts w:cs="FreeSans"/>
    </w:rPr>
  </w:style>
  <w:style w:type="paragraph" w:styleId="111111112">
    <w:name w:val="Заголовок11111111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1111111">
    <w:name w:val="Указатель1111111"/>
    <w:basedOn w:val="Normal"/>
    <w:qFormat/>
    <w:pPr>
      <w:suppressLineNumbers/>
    </w:pPr>
    <w:rPr>
      <w:rFonts w:cs="FreeSans"/>
    </w:rPr>
  </w:style>
  <w:style w:type="paragraph" w:styleId="11111112">
    <w:name w:val="Заголовок1111111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111111">
    <w:name w:val="Указатель111111"/>
    <w:basedOn w:val="Normal"/>
    <w:qFormat/>
    <w:pPr>
      <w:suppressLineNumbers/>
    </w:pPr>
    <w:rPr>
      <w:rFonts w:cs="FreeSans"/>
    </w:rPr>
  </w:style>
  <w:style w:type="paragraph" w:styleId="1111112">
    <w:name w:val="Заголовок111111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11111">
    <w:name w:val="Указатель11111"/>
    <w:basedOn w:val="Normal"/>
    <w:qFormat/>
    <w:pPr>
      <w:suppressLineNumbers/>
    </w:pPr>
    <w:rPr>
      <w:rFonts w:cs="FreeSans"/>
    </w:rPr>
  </w:style>
  <w:style w:type="paragraph" w:styleId="111112">
    <w:name w:val="Заголовок11111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1111">
    <w:name w:val="Указатель1111"/>
    <w:basedOn w:val="Normal"/>
    <w:qFormat/>
    <w:pPr>
      <w:suppressLineNumbers/>
    </w:pPr>
    <w:rPr>
      <w:rFonts w:cs="FreeSans"/>
    </w:rPr>
  </w:style>
  <w:style w:type="paragraph" w:styleId="11112">
    <w:name w:val="Заголовок1111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1112">
    <w:name w:val="Указатель111"/>
    <w:basedOn w:val="Normal"/>
    <w:qFormat/>
    <w:pPr>
      <w:suppressLineNumbers/>
    </w:pPr>
    <w:rPr>
      <w:rFonts w:cs="FreeSans"/>
    </w:rPr>
  </w:style>
  <w:style w:type="paragraph" w:styleId="1113">
    <w:name w:val="Заголовок111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112">
    <w:name w:val="Указатель11"/>
    <w:basedOn w:val="Normal"/>
    <w:qFormat/>
    <w:pPr>
      <w:suppressLineNumbers/>
    </w:pPr>
    <w:rPr>
      <w:rFonts w:cs="FreeSans"/>
    </w:rPr>
  </w:style>
  <w:style w:type="paragraph" w:styleId="113">
    <w:name w:val="Заголовок11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122">
    <w:name w:val="Указатель12"/>
    <w:basedOn w:val="Normal"/>
    <w:qFormat/>
    <w:pPr>
      <w:suppressLineNumbers/>
    </w:pPr>
    <w:rPr>
      <w:rFonts w:cs="FreeSans"/>
    </w:rPr>
  </w:style>
  <w:style w:type="paragraph" w:styleId="123">
    <w:name w:val="Заголовок12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numbering" w:styleId="NoList" w:default="1">
    <w:name w:val="No List"/>
    <w:uiPriority w:val="99"/>
    <w:semiHidden/>
    <w:unhideWhenUsed/>
    <w:qFormat/>
  </w:style>
  <w:style w:type="numbering" w:styleId="Style12" w:customStyle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A79C9-3C6C-4F84-AF01-AFDF28304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Application>AlterOffice/2026.2.1.0$Linux_X86_64 LibreOffice_project/f008988ffacaa0b2bf57911c2759d08ca79831df</Application>
  <AppVersion>15.0000</AppVersion>
  <Pages>3</Pages>
  <Words>894</Words>
  <Characters>6811</Characters>
  <CharactersWithSpaces>7680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2026-10-06T12:47:00Z</dcterms:created>
  <dc:creator>Oem</dc:creator>
  <dc:description/>
  <dc:language>ru-RU</dc:language>
  <cp:lastModifiedBy>azhukova</cp:lastModifiedBy>
  <cp:lastPrinted>2026-10-08T17:03:07Z</cp:lastPrinted>
  <dcterms:modified xsi:type="dcterms:W3CDTF">2026-10-08T17:04:10Z</dcterms:modified>
  <cp:revision>8</cp:revision>
  <dc:subject/>
  <dc:title>ПОЯСНИТЕЛЬНАЯ ЗАПИСКА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