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Пояснительная записка</w:t>
      </w:r>
    </w:p>
    <w:p>
      <w:pPr>
        <w:pStyle w:val="Normal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к вопросу, выносимому на заседание </w:t>
      </w:r>
    </w:p>
    <w:p>
      <w:pPr>
        <w:pStyle w:val="Normal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Администрации Ненецкого автономного округа</w:t>
      </w:r>
    </w:p>
    <w:p>
      <w:pPr>
        <w:pStyle w:val="Normal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в июне 2026 года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</w:r>
    </w:p>
    <w:p>
      <w:pPr>
        <w:pStyle w:val="BodyTextIndent211"/>
        <w:tabs>
          <w:tab w:val="left" w:pos="1276" w:leader="none"/>
          <w:tab w:val="left" w:pos="9360" w:leader="none"/>
        </w:tabs>
        <w:ind w:firstLine="709" w:left="0" w:right="-1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1. Вопрос:</w:t>
      </w:r>
      <w:r>
        <w:rPr>
          <w:rFonts w:ascii="XO Thames" w:hAnsi="XO Thames"/>
          <w:sz w:val="26"/>
        </w:rPr>
        <w:t xml:space="preserve"> о проекте постановления Администрации Ненецкого автономного округа «О внесении изменений в отдельные постановления Администрации Ненецкого автономного округа в </w:t>
      </w:r>
      <w:r>
        <w:rPr>
          <w:rFonts w:ascii="XO Thames" w:hAnsi="XO Thames"/>
          <w:spacing w:val="-20"/>
          <w:sz w:val="26"/>
        </w:rPr>
        <w:t>сфере</w:t>
      </w:r>
      <w:r>
        <w:rPr>
          <w:rFonts w:ascii="XO Thames" w:hAnsi="XO Thames"/>
          <w:sz w:val="26"/>
        </w:rPr>
        <w:t xml:space="preserve"> управления государственным имуществом».</w:t>
      </w:r>
    </w:p>
    <w:p>
      <w:pPr>
        <w:pStyle w:val="BodyTextIndent211"/>
        <w:tabs>
          <w:tab w:val="left" w:pos="1276" w:leader="none"/>
          <w:tab w:val="left" w:pos="9360" w:leader="none"/>
        </w:tabs>
        <w:ind w:firstLine="709" w:left="0" w:right="-1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2. Общая характеристика вопроса: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соответствии с пунктом 9.1 Порядка определения условий оплаты труда руководителей, их заместителей, главных бухгалтеров государственных унитарных предприятий Ненецкого автономного округа, утвержденного постановлением Администрации Ненецкого автономного округа от 11.03.2016 № 62-п (далее – Порядок № 1), и пунктом 9.1 Порядка определения условий оплаты труда руководителей, их заместителей, главных бухгалтеров хозяйственных обществ, более пятидесяти процентов акций (долей) в уставном капитале которых находится в собственности Ненецкого автономного округа, утвержденного постановлением Администрации Ненецкого автономного округа от 14.12.2016 № 389-п (далее – Порядок № 2), индексация (увеличение) базового оклада для исчисления должностного оклада руководителя предприятия (хозяйственного общества) осуществляется в соответствии с постановлением Администрации Ненецкого автономного округа в размере и срок, предусмотренные для лиц, замещающих государственные должности Ненецкого автономного округа.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Согласно части 1 статьи 12 закона Ненецкого автономного округа</w:t>
        <w:br/>
      </w:r>
      <w:r>
        <w:rPr/>
        <w:t>от 18.12.2025 № 152-</w:t>
      </w:r>
      <w:r>
        <w:rPr>
          <w:rFonts w:ascii="XO Thames" w:hAnsi="XO Thames"/>
          <w:sz w:val="26"/>
        </w:rPr>
        <w:t>оз «Об окружном бюджете на 2026 год и на плановый период 2027 и 2028 годов», размеры денежного вознаграждения и денежного поощрения по государственным должностям Ненецкого автономного округа, установленные законом Ненецкого автономного округа от 06.01.2005 № 538-оз «О статусе лиц, замещающих государственные должности Ненецкого автономного округа», индексируются с 1 апреля 2026 года в 1,076 раза.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этой связи проектом постановления Администрации Ненецкого автономного округа «О внесении изменений в отдельные постановления Администрации Ненецкого автономного округа в сфере управления государственным имуществом» (далее – проект постановления) предлагается внести изменения в Порядок № 1 и Порядок № 2, предусматривающие  индексацию в 1,076 раза размеров базовых окладов руководителей государственных унитарных предприятий Ненецкого автономного округа</w:t>
        <w:br/>
        <w:t>и хозяйственных обществ, более пятидесяти процентов акций (долей) в уставном капитале которых находится в собственности Ненецкого автономного округа.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Действие проекта постановления предлагается распространить</w:t>
        <w:br/>
        <w:t>на правоотношения, возникшие с 1 апреля 2026 года.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Проект постановления не затрагивает вопросов осуществления предпринимательской и инвестиционной деятельности и не подлежит оценке регулирующего воздействия.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Принятие рассматриваемого проекта постановления и его реализация</w:t>
        <w:br/>
        <w:t>не потребуют выделения средств из окружного бюджета.</w:t>
      </w:r>
    </w:p>
    <w:p>
      <w:pPr>
        <w:pStyle w:val="Normal"/>
        <w:tabs>
          <w:tab w:val="clear" w:pos="708"/>
          <w:tab w:val="left" w:pos="709" w:leader="none"/>
        </w:tabs>
        <w:ind w:firstLine="709" w:left="0" w:right="-5"/>
        <w:jc w:val="both"/>
        <w:rPr>
          <w:sz w:val="26"/>
        </w:rPr>
      </w:pPr>
      <w:r>
        <w:rPr>
          <w:sz w:val="26"/>
        </w:rPr>
        <w:t>Количество необходимых оригиналов принятого проекта постановления – 1.</w:t>
      </w:r>
    </w:p>
    <w:p>
      <w:pPr>
        <w:pStyle w:val="BodyTextIndent211"/>
        <w:tabs>
          <w:tab w:val="left" w:pos="1276" w:leader="none"/>
          <w:tab w:val="left" w:pos="9360" w:leader="none"/>
        </w:tabs>
        <w:ind w:firstLine="709" w:left="0" w:right="-1"/>
        <w:rPr>
          <w:rFonts w:ascii="XO Thames" w:hAnsi="XO Thames"/>
          <w:spacing w:val="-6"/>
          <w:sz w:val="26"/>
        </w:rPr>
      </w:pPr>
      <w:r>
        <w:rPr>
          <w:rFonts w:ascii="XO Thames" w:hAnsi="XO Thames"/>
          <w:b/>
          <w:spacing w:val="-6"/>
          <w:sz w:val="26"/>
        </w:rPr>
        <w:t xml:space="preserve">3. Член Администрации, ответственный за подготовку вопроса: </w:t>
      </w:r>
      <w:r>
        <w:rPr>
          <w:rFonts w:ascii="XO Thames" w:hAnsi="XO Thames"/>
          <w:spacing w:val="-6"/>
          <w:sz w:val="26"/>
        </w:rPr>
        <w:t>заместитель губернатора Ненецкого автономного окр</w:t>
      </w:r>
      <w:r>
        <w:rPr>
          <w:rFonts w:ascii="XO Thames" w:hAnsi="XO Thames"/>
          <w:spacing w:val="0"/>
          <w:sz w:val="26"/>
        </w:rPr>
        <w:t>уга Гиниятуллин Марсель Альбертович.</w:t>
      </w:r>
    </w:p>
    <w:p>
      <w:pPr>
        <w:pStyle w:val="BodyTextIndent211"/>
        <w:tabs>
          <w:tab w:val="clear" w:pos="9360"/>
          <w:tab w:val="left" w:pos="1276" w:leader="none"/>
        </w:tabs>
        <w:ind w:firstLine="709" w:left="0" w:right="-1"/>
        <w:rPr>
          <w:rFonts w:ascii="XO Thames" w:hAnsi="XO Thames"/>
          <w:sz w:val="26"/>
        </w:rPr>
      </w:pPr>
      <w:r>
        <w:rPr>
          <w:rFonts w:ascii="XO Thames" w:hAnsi="XO Thames"/>
          <w:b/>
          <w:sz w:val="26"/>
        </w:rPr>
        <w:t>4. Разработчик:</w:t>
      </w:r>
      <w:r>
        <w:rPr>
          <w:rFonts w:ascii="XO Thames" w:hAnsi="XO Thames"/>
          <w:sz w:val="26"/>
        </w:rPr>
        <w:t xml:space="preserve"> начальник отдела имущественных отношений Департамента </w:t>
      </w:r>
      <w:r>
        <w:rPr>
          <w:sz w:val="26"/>
        </w:rPr>
        <w:t>имущественных, земельных отношений и градостроительства Ненецкого автономного округа</w:t>
      </w:r>
      <w:r>
        <w:rPr>
          <w:rFonts w:ascii="XO Thames" w:hAnsi="XO Thames"/>
          <w:sz w:val="26"/>
        </w:rPr>
        <w:t xml:space="preserve"> Шапов Виталий Аркадьевич.</w:t>
      </w:r>
    </w:p>
    <w:p>
      <w:pPr>
        <w:pStyle w:val="Normal"/>
        <w:ind w:firstLine="709" w:left="0" w:right="-5"/>
        <w:jc w:val="both"/>
        <w:rPr>
          <w:b/>
          <w:sz w:val="26"/>
        </w:rPr>
      </w:pPr>
      <w:r>
        <w:rPr>
          <w:b/>
          <w:sz w:val="26"/>
        </w:rPr>
        <w:t>5. Проект предлагаемого решения:</w:t>
      </w:r>
    </w:p>
    <w:p>
      <w:pPr>
        <w:pStyle w:val="Normal"/>
        <w:tabs>
          <w:tab w:val="clear" w:pos="708"/>
          <w:tab w:val="left" w:pos="709" w:leader="none"/>
        </w:tabs>
        <w:ind w:firstLine="709" w:left="0" w:right="-5"/>
        <w:jc w:val="both"/>
        <w:rPr>
          <w:sz w:val="26"/>
        </w:rPr>
      </w:pPr>
      <w:r>
        <w:rPr>
          <w:sz w:val="26"/>
        </w:rPr>
        <w:t>Принять постановление Администрации Ненецкого автономного округа        «О внесении изменений в отдельные постановления Администрации Ненецкого автономного округа в сфере управления государственным имуществом»</w:t>
        <w:br/>
        <w:t xml:space="preserve">в предложенном варианте. </w:t>
      </w:r>
    </w:p>
    <w:sectPr>
      <w:headerReference w:type="default" r:id="rId2"/>
      <w:type w:val="nextPage"/>
      <w:pgSz w:w="11906" w:h="16838"/>
      <w:pgMar w:left="1701" w:right="851" w:gutter="0" w:header="425" w:top="1134" w:footer="0" w:bottom="822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Style9">
    <w:name w:val="Колонтитул"/>
    <w:link w:val="13"/>
    <w:qFormat/>
    <w:rPr>
      <w:rFonts w:ascii="XO Thames" w:hAnsi="XO Thames"/>
      <w:color w:val="000000"/>
      <w:spacing w:val="0"/>
      <w:sz w:val="28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Style10">
    <w:name w:val="Заголовок"/>
    <w:link w:val="1"/>
    <w:qFormat/>
    <w:rPr>
      <w:rFonts w:ascii="PT Astra Serif" w:hAnsi="PT Astra Serif"/>
      <w:sz w:val="28"/>
    </w:rPr>
  </w:style>
  <w:style w:type="character" w:styleId="Header1">
    <w:name w:val="Header1"/>
    <w:link w:val="Header11"/>
    <w:qFormat/>
    <w:rPr/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Footer1">
    <w:name w:val="Footer1"/>
    <w:link w:val="Footer11"/>
    <w:qFormat/>
    <w:rPr/>
  </w:style>
  <w:style w:type="character" w:styleId="Header2">
    <w:name w:val="Header2"/>
    <w:qFormat/>
    <w:rPr/>
  </w:style>
  <w:style w:type="character" w:styleId="Contents21">
    <w:name w:val="Contents 21"/>
    <w:link w:val="Contents22"/>
    <w:qFormat/>
    <w:rPr>
      <w:rFonts w:ascii="XO Thames" w:hAnsi="XO Thames"/>
      <w:sz w:val="28"/>
    </w:rPr>
  </w:style>
  <w:style w:type="character" w:styleId="Textbody">
    <w:name w:val="Text body"/>
    <w:qFormat/>
    <w:rPr/>
  </w:style>
  <w:style w:type="character" w:styleId="11">
    <w:name w:val="Основной шрифт абзаца11"/>
    <w:link w:val="1111"/>
    <w:qFormat/>
    <w:rPr>
      <w:rFonts w:ascii="Calibri" w:hAnsi="Calibri"/>
      <w:color w:val="000000"/>
      <w:spacing w:val="0"/>
      <w:sz w:val="20"/>
    </w:rPr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>
    <w:name w:val="Heading 11"/>
    <w:link w:val="Heading111"/>
    <w:qFormat/>
    <w:rPr>
      <w:rFonts w:ascii="XO Thames" w:hAnsi="XO Thames"/>
      <w:b/>
      <w:sz w:val="32"/>
    </w:rPr>
  </w:style>
  <w:style w:type="character" w:styleId="Heading12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BalloonText1">
    <w:name w:val="Balloon Text1"/>
    <w:link w:val="BalloonText11"/>
    <w:qFormat/>
    <w:rPr>
      <w:rFonts w:ascii="Segoe UI" w:hAnsi="Segoe UI"/>
      <w:sz w:val="18"/>
    </w:rPr>
  </w:style>
  <w:style w:type="character" w:styleId="111">
    <w:name w:val="Обычный11"/>
    <w:link w:val="1112"/>
    <w:qFormat/>
    <w:rPr>
      <w:rFonts w:ascii="Times New Roman" w:hAnsi="Times New Roman"/>
      <w:color w:val="000000"/>
      <w:spacing w:val="0"/>
      <w:sz w:val="24"/>
    </w:rPr>
  </w:style>
  <w:style w:type="character" w:styleId="Contents9">
    <w:name w:val="Contents 9"/>
    <w:qFormat/>
    <w:rPr>
      <w:rFonts w:ascii="XO Thames" w:hAnsi="XO Thames"/>
      <w:color w:val="000000"/>
      <w:spacing w:val="0"/>
      <w:sz w:val="28"/>
    </w:rPr>
  </w:style>
  <w:style w:type="character" w:styleId="BodyTextIndent21">
    <w:name w:val="Body Text Indent 21"/>
    <w:link w:val="BodyTextIndent211"/>
    <w:qFormat/>
    <w:rPr/>
  </w:style>
  <w:style w:type="character" w:styleId="112">
    <w:name w:val="Гиперссылка11"/>
    <w:link w:val="1113"/>
    <w:qFormat/>
    <w:rPr>
      <w:rFonts w:ascii="Calibri" w:hAnsi="Calibri"/>
      <w:color w:val="0000FF"/>
      <w:spacing w:val="0"/>
      <w:sz w:val="20"/>
      <w:u w:val="single"/>
    </w:rPr>
  </w:style>
  <w:style w:type="character" w:styleId="Footer2">
    <w:name w:val="Footer2"/>
    <w:qFormat/>
    <w:rPr/>
  </w:style>
  <w:style w:type="character" w:styleId="Contents8">
    <w:name w:val="Contents 8"/>
    <w:qFormat/>
    <w:rPr>
      <w:rFonts w:ascii="XO Thames" w:hAnsi="XO Thames"/>
      <w:color w:val="000000"/>
      <w:spacing w:val="0"/>
      <w:sz w:val="28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81">
    <w:name w:val="Contents 81"/>
    <w:link w:val="Contents82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Heading311">
    <w:name w:val="Heading 311"/>
    <w:link w:val="Heading312"/>
    <w:qFormat/>
    <w:rPr>
      <w:rFonts w:ascii="XO Thames" w:hAnsi="XO Thames"/>
      <w:b/>
      <w:sz w:val="26"/>
    </w:rPr>
  </w:style>
  <w:style w:type="character" w:styleId="PlainText1">
    <w:name w:val="Plain Text1"/>
    <w:link w:val="PlainText11"/>
    <w:qFormat/>
    <w:rPr>
      <w:rFonts w:ascii="Courier New" w:hAnsi="Courier New"/>
      <w:sz w:val="20"/>
    </w:rPr>
  </w:style>
  <w:style w:type="character" w:styleId="Internetlink">
    <w:name w:val="Internet link"/>
    <w:link w:val="Internetlink2"/>
    <w:qFormat/>
    <w:rPr>
      <w:rFonts w:ascii="Calibri" w:hAnsi="Calibri"/>
      <w:color w:val="0000FF"/>
      <w:spacing w:val="0"/>
      <w:sz w:val="20"/>
      <w:u w:val="single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Subtitle11">
    <w:name w:val="Subtitle11"/>
    <w:link w:val="Subtitle12"/>
    <w:qFormat/>
    <w:rPr>
      <w:rFonts w:ascii="XO Thames" w:hAnsi="XO Thames"/>
      <w:i/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DefaultParagraphFont1">
    <w:name w:val="Default Paragraph Font1"/>
    <w:link w:val="DefaultParagraphFont11"/>
    <w:qFormat/>
    <w:rPr>
      <w:rFonts w:ascii="Calibri" w:hAnsi="Calibri"/>
      <w:color w:val="000000"/>
      <w:spacing w:val="0"/>
      <w:sz w:val="20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Contents91">
    <w:name w:val="Contents 91"/>
    <w:link w:val="Contents92"/>
    <w:qFormat/>
    <w:rPr>
      <w:rFonts w:ascii="XO Thames" w:hAnsi="XO Thames"/>
      <w:sz w:val="28"/>
    </w:rPr>
  </w:style>
  <w:style w:type="character" w:styleId="Style11">
    <w:name w:val="Указатель"/>
    <w:link w:val="12"/>
    <w:qFormat/>
    <w:rPr>
      <w:rFonts w:ascii="PT Astra Serif" w:hAnsi="PT Astra Serif"/>
    </w:rPr>
  </w:style>
  <w:style w:type="paragraph" w:styleId="1">
    <w:name w:val="Заголовок1"/>
    <w:basedOn w:val="Normal"/>
    <w:next w:val="BodyText"/>
    <w:link w:val="Style10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12">
    <w:name w:val="Указатель1"/>
    <w:basedOn w:val="Normal"/>
    <w:link w:val="Style11"/>
    <w:qFormat/>
    <w:pPr/>
    <w:rPr>
      <w:rFonts w:ascii="PT Astra Serif" w:hAnsi="PT Astra Serif"/>
    </w:rPr>
  </w:style>
  <w:style w:type="paragraph" w:styleId="Heading411">
    <w:name w:val="Heading 411"/>
    <w:link w:val="Heading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3">
    <w:name w:val="Колонтитул1"/>
    <w:link w:val="Style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11">
    <w:name w:val="Header11"/>
    <w:link w:val="Head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Footer11">
    <w:name w:val="Footer11"/>
    <w:link w:val="Foote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tents22">
    <w:name w:val="Contents 22"/>
    <w:link w:val="Contents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1">
    <w:name w:val="Основной шрифт абзаца111"/>
    <w:link w:val="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11">
    <w:name w:val="Heading 111"/>
    <w:link w:val="Heading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1">
    <w:name w:val="Internet link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itle11">
    <w:name w:val="Title11"/>
    <w:link w:val="Title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BalloonText11">
    <w:name w:val="Balloon Text11"/>
    <w:basedOn w:val="Normal"/>
    <w:link w:val="BalloonText1"/>
    <w:qFormat/>
    <w:pPr/>
    <w:rPr>
      <w:rFonts w:ascii="Segoe UI" w:hAnsi="Segoe UI"/>
      <w:sz w:val="18"/>
    </w:rPr>
  </w:style>
  <w:style w:type="paragraph" w:styleId="1112">
    <w:name w:val="Обычный111"/>
    <w:link w:val="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211">
    <w:name w:val="Body Text Indent 211"/>
    <w:basedOn w:val="Normal"/>
    <w:link w:val="BodyTextIndent21"/>
    <w:qFormat/>
    <w:pPr>
      <w:tabs>
        <w:tab w:val="clear" w:pos="708"/>
        <w:tab w:val="left" w:pos="9360" w:leader="none"/>
      </w:tabs>
      <w:ind w:firstLine="720" w:right="-5"/>
      <w:jc w:val="both"/>
    </w:pPr>
    <w:rPr/>
  </w:style>
  <w:style w:type="paragraph" w:styleId="1113">
    <w:name w:val="Гиперссылка111"/>
    <w:link w:val="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">
    <w:name w:val="Contents 82"/>
    <w:link w:val="Contents8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52">
    <w:name w:val="Contents 52"/>
    <w:link w:val="Contents5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312">
    <w:name w:val="Heading 312"/>
    <w:link w:val="Heading3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PlainText11">
    <w:name w:val="Plain Text11"/>
    <w:basedOn w:val="Normal"/>
    <w:link w:val="PlainText1"/>
    <w:qFormat/>
    <w:pPr/>
    <w:rPr>
      <w:rFonts w:ascii="Courier New" w:hAnsi="Courier New"/>
      <w:sz w:val="20"/>
    </w:rPr>
  </w:style>
  <w:style w:type="paragraph" w:styleId="Internetlink2">
    <w:name w:val="Internet link2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Heading512">
    <w:name w:val="Heading 512"/>
    <w:link w:val="Heading5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12">
    <w:name w:val="Subtitle12"/>
    <w:link w:val="Subtit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">
    <w:name w:val="Contents 92"/>
    <w:link w:val="Contents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table" w:default="1" w:styleId="Style_58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2</Pages>
  <Words>405</Words>
  <Characters>3095</Characters>
  <CharactersWithSpaces>3496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2026-06-22T17:32:38Z</dcterms:modified>
  <cp:revision>1</cp:revision>
  <dc:subject/>
  <dc:title/>
</cp:coreProperties>
</file>