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 xml:space="preserve">Пояснительная записка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>к проекту закона Ненецкого автономного округа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/>
          <w:b/>
          <w:bCs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>«</w:t>
      </w:r>
      <w:r>
        <w:rPr>
          <w:rFonts w:eastAsia="Times New Roman" w:cs="Times New Roman" w:ascii="XO Thames" w:hAnsi="XO Thames"/>
          <w:b/>
          <w:bCs/>
          <w:sz w:val="28"/>
          <w:szCs w:val="28"/>
        </w:rPr>
        <w:t>О разграничении полномочий между органами</w:t>
        <w:br/>
        <w:t>государственной власти Ненецкого автономного округа</w:t>
        <w:br/>
        <w:t>в области обращения с отходами производства и потребления»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Субъект правотворческой инициативы: </w:t>
      </w:r>
      <w:r>
        <w:rPr>
          <w:bCs/>
          <w:sz w:val="28"/>
          <w:szCs w:val="28"/>
        </w:rPr>
        <w:t>губернатор Ненецкого автономного округа.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Разработчик проекта:</w:t>
      </w:r>
      <w:r>
        <w:rPr>
          <w:sz w:val="28"/>
          <w:szCs w:val="28"/>
        </w:rPr>
        <w:t xml:space="preserve"> Департамент природных ресурсов, экологии</w:t>
        <w:br/>
        <w:t>и агропромышленного комплекса Ненецкого автономного округа.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Проектом закона предлагается признать утратившим силу пункт 5 статьи 6 закона Ненецкого автономного округа </w:t>
      </w:r>
      <w:r>
        <w:rPr>
          <w:rFonts w:eastAsia="Calibri" w:cs="Times New Roman" w:ascii="XO Thames" w:hAnsi="XO Thames"/>
          <w:b w:val="false"/>
          <w:bCs w:val="false"/>
          <w:sz w:val="28"/>
          <w:szCs w:val="28"/>
        </w:rPr>
        <w:t>от 30 мая 2016 года № 208-оз</w:t>
        <w:br/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потребления», которым на Департамент природных ресурсов, экологии и агропромышленного комплекса Ненецкого автономного округа возложено полномочие по установлению порядка ведения регионального кадастра отходов и ведение регионального кадастра отходов.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Абзацем десятым статьи 6 </w:t>
      </w:r>
      <w:r>
        <w:rPr>
          <w:rFonts w:eastAsia="Times New Roman" w:cs="Times New Roman"/>
          <w:b w:val="false"/>
          <w:bCs w:val="false"/>
          <w:sz w:val="28"/>
          <w:szCs w:val="28"/>
        </w:rPr>
        <w:t>Федерального закона от 24.06.1998 № 89-ФЗ</w:t>
        <w:br/>
        <w:t>«</w:t>
      </w:r>
      <w:r>
        <w:rPr>
          <w:b w:val="false"/>
          <w:bCs w:val="false"/>
          <w:sz w:val="28"/>
          <w:szCs w:val="28"/>
        </w:rPr>
        <w:t>Об отходах производства и потребления» (далее – Федеральный закон</w:t>
        <w:br/>
        <w:t>от 24.06.1998 № 89-ФЗ) определено, что к полномочиям субъектов Российской Федерации в области обращения с отходами относится установление порядка ведения регионального кадастра отходов.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В соответствии с частью 3 статьи 20 Федерального закона от 24.06.1998</w:t>
        <w:br/>
        <w:t>№ 89-ФЗ исполнительные органы субъекта Российской Федерации вправе вести региональные кадастры отходов, включающие в себя данные, представляемые органами местного самоуправления, а также индивидуальными предпринимателями, юридическими лицами, в процессе осуществления которыми хозяйственной</w:t>
        <w:br/>
        <w:t>и (или) иной деятельности образуются отходы. Порядок ведения региональных кадастров отходов устанавливается исполнительными органами субъектов Российской Федерации.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Проектом закона предлагается не реализовывать право ведения регионального кадастра отходов.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Анализ законодательства субъектов Российской Федерации показал, что</w:t>
        <w:br/>
        <w:t>в ряде регионов указанное право не реализовано исполнительным</w:t>
      </w:r>
      <w:r>
        <w:rPr>
          <w:b w:val="false"/>
          <w:bCs w:val="false"/>
          <w:sz w:val="28"/>
          <w:szCs w:val="28"/>
        </w:rPr>
        <w:t>и</w:t>
      </w:r>
      <w:r>
        <w:rPr>
          <w:b w:val="false"/>
          <w:bCs w:val="false"/>
          <w:sz w:val="28"/>
          <w:szCs w:val="28"/>
        </w:rPr>
        <w:t xml:space="preserve"> органами, в том числе приняты решения об отмене норм законодательства, устанавливающих рассматриваемое полномочие (Удмуртская Республика, Белгородская область, Воронежская область, Камчатский край, Липецкая область, Магаданская область, Московская область, Мурманская область, Тамбовская область). 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В двух субъектах Российской Федерации отменены нормативные правовые акты, определяющие порядок ведения регионального кадастра отходов, при условии сохранения в законах субъектов полномочия по ведению регионального кадастра отходов (Калининградская область и Республика Алтай). 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Еще в двух субъектах Российской Федерации (в Тюменской и Орловской областях) полномочие по ведению регионального кадастра отходов сформулировано как право исполнительных органов. При этом нормативных правовых актов, направленных на реализацию установленного правомочия в указанных регионах</w:t>
        <w:br/>
        <w:t xml:space="preserve">не принято. 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В Вологодской области региональный кадастр состоит из одного раздела – регионального реестра свалок, который содержит систематизированную информацию о территориях, разрешенных органами местного самоуправления</w:t>
        <w:br/>
        <w:t>для временного накопления и размещения отходов, но не обустроенных</w:t>
        <w:br/>
        <w:t>в соответствии с действующим законодательством, в том числе свалках, закрытых на основании правовых актов органов местного самоуправления.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На территории Ненецкого автономного округа действует приказ Департамента природных ресурсов, экологии и агропромышленного комплекса Ненецкого автономного округа от 06.06.2016 № 44-пр «Об утверждении Порядка ведения регионального кадастра отходов» (далее – Порядок ведения регионального кадастра отходов).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С 01.09.2025 вступил в силу Порядок ведения государственного кадастра отходов производства и потребления, утвержденный приказом Министерства природных ресурсов и экологии Российской Федерации от 02.04.2025 № 167</w:t>
        <w:br/>
        <w:t>(далее – Порядок ведения государственного кадастра), которым определены процедуры сбора, обработки, систематизации и представления информации о видах отходов, их происхождении, химическом и (или) компонентном составе, агрегатном состоянии и физической форме, классе опасности, условиях и конкретных объектах размещения отходов, технологиях утилизации и обезвреживания отходов различных видов.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В соответствии с п. 2.3 </w:t>
      </w:r>
      <w:r>
        <w:rPr>
          <w:rFonts w:ascii="XO Thames" w:hAnsi="XO Thames"/>
          <w:b w:val="false"/>
          <w:bCs w:val="false"/>
          <w:sz w:val="28"/>
          <w:szCs w:val="28"/>
        </w:rPr>
        <w:t>Порядка ведения регионального кадастра отходов кадастр включает в себя: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XO Thames" w:hAnsi="XO Thames"/>
          <w:b w:val="false"/>
          <w:sz w:val="28"/>
          <w:szCs w:val="28"/>
        </w:rPr>
      </w:pPr>
      <w:r>
        <w:rPr>
          <w:rFonts w:ascii="XO Thames" w:hAnsi="XO Thames"/>
          <w:b w:val="false"/>
          <w:sz w:val="28"/>
          <w:szCs w:val="28"/>
        </w:rPr>
        <w:t>1) региональный реестр объектов размещения, обезвреживания</w:t>
        <w:br/>
        <w:t xml:space="preserve">и использования отходов Ненецкого автономного округа;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XO Thames" w:hAnsi="XO Thames"/>
          <w:b w:val="false"/>
          <w:sz w:val="28"/>
          <w:szCs w:val="28"/>
        </w:rPr>
      </w:pPr>
      <w:r>
        <w:rPr>
          <w:rFonts w:ascii="XO Thames" w:hAnsi="XO Thames"/>
          <w:b w:val="false"/>
          <w:sz w:val="28"/>
          <w:szCs w:val="28"/>
        </w:rPr>
        <w:t>2) региональный банк данных об образовании и обращении с отходами;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XO Thames" w:hAnsi="XO Thames"/>
          <w:b w:val="false"/>
          <w:sz w:val="28"/>
          <w:szCs w:val="28"/>
        </w:rPr>
      </w:pPr>
      <w:r>
        <w:rPr>
          <w:rFonts w:ascii="XO Thames" w:hAnsi="XO Thames"/>
          <w:b w:val="false"/>
          <w:sz w:val="28"/>
          <w:szCs w:val="28"/>
        </w:rPr>
        <w:t xml:space="preserve">3) сведения о технологиях использования и обезвреживания отходов Ненецкого автономного округа;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XO Thames" w:hAnsi="XO Thames"/>
          <w:b w:val="false"/>
          <w:sz w:val="28"/>
          <w:szCs w:val="28"/>
        </w:rPr>
      </w:pPr>
      <w:r>
        <w:rPr>
          <w:rFonts w:ascii="XO Thames" w:hAnsi="XO Thames"/>
          <w:b w:val="false"/>
          <w:sz w:val="28"/>
          <w:szCs w:val="28"/>
        </w:rPr>
        <w:t xml:space="preserve">4) перечень юридических лиц, осуществляющих деятельность по сбору, транспортированию, обработке, утилизации, обезвреживанию, размещению отходов I-IV классов опасности на основании лицензий.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XO Thames" w:hAnsi="XO Thames"/>
          <w:b w:val="false"/>
          <w:sz w:val="28"/>
          <w:szCs w:val="28"/>
        </w:rPr>
      </w:pPr>
      <w:r>
        <w:rPr>
          <w:rFonts w:ascii="XO Thames" w:hAnsi="XO Thames"/>
          <w:b w:val="false"/>
          <w:sz w:val="28"/>
          <w:szCs w:val="28"/>
        </w:rPr>
        <w:t>Вместе с тем, анализ действующего нормативного правового регулирования</w:t>
        <w:br/>
        <w:t xml:space="preserve">в сфере обращения с отходами, указывает на то, что часть сведений, подлежащих включению в региональный кадастр отходов Ненецкого автономного округа, дублируется со сведениями, подлежащими включению в государственный кадастр отходов, часть сведений является неактуальными и часть сведений может быть получена из источников, находящихся в открытом доступе. </w:t>
      </w:r>
    </w:p>
    <w:p>
      <w:pPr>
        <w:pStyle w:val="Normal"/>
        <w:spacing w:lineRule="auto" w:line="24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b w:val="false"/>
          <w:bCs w:val="false"/>
          <w:color w:val="auto"/>
          <w:sz w:val="28"/>
          <w:szCs w:val="28"/>
        </w:rPr>
        <w:t xml:space="preserve">Согласно п. 2 Порядка ведения государственного кадастра государственный кадастр включает в себя федеральный классификационный </w:t>
      </w:r>
      <w:r>
        <w:rPr>
          <w:rFonts w:ascii="XO Thames" w:hAnsi="XO Thames"/>
          <w:b w:val="false"/>
          <w:bCs w:val="false"/>
          <w:strike w:val="false"/>
          <w:dstrike w:val="false"/>
          <w:color w:val="auto"/>
          <w:sz w:val="28"/>
          <w:szCs w:val="28"/>
          <w:u w:val="none"/>
          <w:effect w:val="none"/>
        </w:rPr>
        <w:t>каталог</w:t>
      </w:r>
      <w:r>
        <w:rPr>
          <w:rFonts w:ascii="XO Thames" w:hAnsi="XO Thames"/>
          <w:b w:val="false"/>
          <w:bCs w:val="false"/>
          <w:color w:val="auto"/>
          <w:sz w:val="28"/>
          <w:szCs w:val="28"/>
        </w:rPr>
        <w:t xml:space="preserve"> отходов, государственный реестр объектов размещения отходов, банк данных об отходах</w:t>
        <w:br/>
        <w:t>и о технологиях утилизации и обезвреживания отходов различных видов и ведется по единой для Российской Федерации системе.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В частности, с государственным реестром дублируются сведения, определенные подпунктами 1-3 пункта 2.3 </w:t>
      </w:r>
      <w:r>
        <w:rPr>
          <w:rFonts w:ascii="XO Thames" w:hAnsi="XO Thames"/>
          <w:b w:val="false"/>
          <w:bCs w:val="false"/>
          <w:sz w:val="28"/>
          <w:szCs w:val="28"/>
        </w:rPr>
        <w:t>Порядка ведения регионального кадастра отходов.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Сведения, установленные подпунктом 2 пункта 2.3 Порядка ведения регионального кадастра отходов, дублируются с формой</w:t>
      </w:r>
      <w:r>
        <w:rPr>
          <w:rFonts w:ascii="XO Thames" w:hAnsi="XO Thames"/>
          <w:b w:val="false"/>
          <w:bCs w:val="false"/>
          <w:strike w:val="false"/>
          <w:dstrike w:val="false"/>
          <w:color w:val="0000FF"/>
          <w:sz w:val="28"/>
          <w:szCs w:val="28"/>
          <w:u w:val="none"/>
          <w:effect w:val="none"/>
        </w:rPr>
        <w:t xml:space="preserve"> </w:t>
      </w:r>
      <w:r>
        <w:rPr>
          <w:rFonts w:ascii="XO Thames" w:hAnsi="XO Thames"/>
          <w:b w:val="false"/>
          <w:bCs w:val="false"/>
          <w:sz w:val="28"/>
          <w:szCs w:val="28"/>
        </w:rPr>
        <w:t>федерального статистического наблюдения № 2-ТП (отходы) «Сведения об образовании, обработке, утилизации, обезвреживании, размещении отходов производства</w:t>
        <w:br/>
        <w:t xml:space="preserve">и потребления», которая утверждена приказом Росстата от 06.11.2025 № 614.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 xml:space="preserve">Отчетность по </w:t>
      </w:r>
      <w:r>
        <w:rPr>
          <w:b w:val="false"/>
          <w:strike w:val="false"/>
          <w:dstrike w:val="false"/>
          <w:color w:val="auto"/>
          <w:sz w:val="28"/>
          <w:szCs w:val="28"/>
          <w:u w:val="none"/>
          <w:effect w:val="none"/>
        </w:rPr>
        <w:t>форме 2-ТП (отходы)</w:t>
      </w:r>
      <w:r>
        <w:rPr>
          <w:b w:val="false"/>
          <w:color w:val="auto"/>
          <w:sz w:val="28"/>
          <w:szCs w:val="28"/>
        </w:rPr>
        <w:t xml:space="preserve"> подлежит</w:t>
      </w:r>
      <w:r>
        <w:rPr>
          <w:b w:val="false"/>
          <w:sz w:val="28"/>
          <w:szCs w:val="28"/>
        </w:rPr>
        <w:t xml:space="preserve"> сдаче в территориальные органы Росприроднадзора в субъектах Российской Федерации в срок до 1 февраля года, следующего за отчетным.</w:t>
      </w:r>
    </w:p>
    <w:p>
      <w:pPr>
        <w:pStyle w:val="Normal"/>
        <w:spacing w:lineRule="auto" w:line="24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Кроме того, в соответствии с п. 23 </w:t>
      </w:r>
      <w:r>
        <w:rPr>
          <w:rFonts w:ascii="XO Thames" w:hAnsi="XO Thames"/>
          <w:b w:val="false"/>
          <w:bCs w:val="false"/>
          <w:color w:val="auto"/>
          <w:sz w:val="28"/>
          <w:szCs w:val="28"/>
        </w:rPr>
        <w:t xml:space="preserve">Порядка ведения государственного кадастра </w:t>
      </w:r>
      <w:r>
        <w:rPr>
          <w:rFonts w:ascii="XO Thames" w:hAnsi="XO Thames"/>
          <w:sz w:val="28"/>
          <w:szCs w:val="28"/>
        </w:rPr>
        <w:t xml:space="preserve">Росприроднадзор ведет банк данных об отходах </w:t>
      </w:r>
      <w:r>
        <w:rPr>
          <w:rFonts w:ascii="XO Thames" w:hAnsi="XO Thames"/>
          <w:b w:val="false"/>
          <w:sz w:val="28"/>
          <w:szCs w:val="28"/>
        </w:rPr>
        <w:t>и о технологиях утилизации и обезвреживания отходов различных видов, включаемы в состав государственного кадастра отходов.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XO Thames" w:hAnsi="XO Thames"/>
          <w:b w:val="false"/>
          <w:sz w:val="28"/>
          <w:szCs w:val="28"/>
        </w:rPr>
        <w:t xml:space="preserve">Сведения, определенные подпунктом 4 пункта 2.3 </w:t>
      </w:r>
      <w:r>
        <w:rPr>
          <w:rFonts w:ascii="XO Thames" w:hAnsi="XO Thames"/>
          <w:b w:val="false"/>
          <w:bCs w:val="false"/>
          <w:sz w:val="28"/>
          <w:szCs w:val="28"/>
        </w:rPr>
        <w:t>Порядка ведения регионального кадастра – информация о лицензиях на осуществление деятельности по сбору, транспортированию, обработке, утилизации, обезвреживанию, размещению отходов I-IV классов опасности находится в свободном доступе</w:t>
        <w:br/>
        <w:t>на официальном сайте Росприроднадзора в сети «Интернет» в соответствии</w:t>
        <w:br/>
        <w:t>с Правилами размещения и обновления федеральными органами исполнительной власти, исполнительными органами субъектов Российской Федерации, органами местного самоуправления или уполномоченными ими организациями информации</w:t>
        <w:br/>
        <w:t>о состоянии окружающей среды (экологической информации) на официальных сайтах в информационно-телекоммуникационной сети «Интернет», в том числе содержания информации о состоянии окружающей среды (экологической информации) и формы ее размещения, утвержденными постановлением Правительства Российской Федерации от 16.12.2021 № 2314.</w:t>
      </w:r>
    </w:p>
    <w:p>
      <w:pPr>
        <w:pStyle w:val="Normal"/>
        <w:spacing w:lineRule="auto" w:line="24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b w:val="false"/>
          <w:bCs w:val="false"/>
          <w:sz w:val="28"/>
          <w:szCs w:val="28"/>
        </w:rPr>
        <w:t xml:space="preserve">Таким образом, сведения об отходах, необходимые для осуществления полномочий Департамента природных ресурсов, экологии и агропромышленного комплекса Ненецкого автономного округа в сфере обращения с отходами производства и потребления, будут анализироваться и оцениваться в процессе государственного управления из указанных выше источников и сведений государственного кадастра отходов.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Принятие законопроекта потребует внесение изменений в </w:t>
      </w:r>
      <w:r>
        <w:rPr>
          <w:rFonts w:eastAsia="Times New Roman" w:cs="Times New Roman" w:ascii="XO Thames" w:hAnsi="XO Thames"/>
          <w:b w:val="false"/>
          <w:bCs w:val="false"/>
          <w:color w:val="000000"/>
          <w:sz w:val="28"/>
          <w:szCs w:val="28"/>
          <w:shd w:fill="auto" w:val="clear"/>
        </w:rPr>
        <w:t>Положение</w:t>
        <w:br/>
        <w:t>о Департаменте природных ресурсов, экологии и агропромышленного комплекса Ненецкого автономного округа, утвержденное постановлением Администрации Ненецкого автономного округа от 16.12.2014 № 485-п.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color w:val="000000"/>
          <w:sz w:val="28"/>
          <w:szCs w:val="28"/>
          <w:shd w:fill="auto" w:val="clear"/>
        </w:rPr>
        <w:t>Принятие законопроекта потребует признания утратившим силу приказа Департамента природных ресурсов, экологии и агропромышленного комплекса Ненецкого автономного округа от 06.06.2016 № 44-пр «Об утверждении Порядка ведения регионального кадастра отходов».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>Принятие проекта не оказывает влияния на окружной бюджет и бюджеты муниципальных образований.</w:t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ind w:right="-2"/>
      <w:jc w:val="both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qFormat/>
    <w:rsid w:val="0080089f"/>
    <w:rPr>
      <w:sz w:val="24"/>
      <w:szCs w:val="24"/>
    </w:rPr>
  </w:style>
  <w:style w:type="character" w:styleId="Style14" w:customStyle="1">
    <w:name w:val="Основной текст с отступом Знак"/>
    <w:qFormat/>
    <w:rsid w:val="00ce6bb7"/>
    <w:rPr>
      <w:sz w:val="28"/>
      <w:szCs w:val="26"/>
    </w:rPr>
  </w:style>
  <w:style w:type="character" w:styleId="2" w:customStyle="1">
    <w:name w:val="Основной текст с отступом 2 Знак"/>
    <w:link w:val="BodyTextIndent2"/>
    <w:qFormat/>
    <w:rsid w:val="00d6562f"/>
    <w:rPr>
      <w:sz w:val="24"/>
      <w:szCs w:val="24"/>
    </w:rPr>
  </w:style>
  <w:style w:type="character" w:styleId="HTML" w:customStyle="1">
    <w:name w:val="Стандартный HTML Знак"/>
    <w:link w:val="HTMLPreformatted"/>
    <w:qFormat/>
    <w:rsid w:val="000f2406"/>
    <w:rPr>
      <w:rFonts w:ascii="Courier New" w:hAnsi="Courier New"/>
      <w:lang w:val="x-none" w:eastAsia="x-none"/>
    </w:rPr>
  </w:style>
  <w:style w:type="character" w:styleId="Style15" w:customStyle="1">
    <w:name w:val="Основной текст Знак"/>
    <w:qFormat/>
    <w:rsid w:val="00253c7a"/>
    <w:rPr>
      <w:sz w:val="24"/>
      <w:szCs w:val="24"/>
    </w:rPr>
  </w:style>
  <w:style w:type="character" w:styleId="Style16" w:customStyle="1">
    <w:name w:val="Верхний колонтитул Знак"/>
    <w:uiPriority w:val="99"/>
    <w:qFormat/>
    <w:rsid w:val="001a27ab"/>
    <w:rPr>
      <w:sz w:val="24"/>
      <w:szCs w:val="24"/>
    </w:rPr>
  </w:style>
  <w:style w:type="character" w:styleId="Annotationreference">
    <w:name w:val="annotation reference"/>
    <w:basedOn w:val="DefaultParagraphFont"/>
    <w:uiPriority w:val="99"/>
    <w:unhideWhenUsed/>
    <w:qFormat/>
    <w:rsid w:val="00c15c85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qFormat/>
    <w:rsid w:val="00c15c85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5"/>
    <w:pPr>
      <w:ind w:right="4576"/>
      <w:jc w:val="both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">
    <w:name w:val="Body Text Indent"/>
    <w:basedOn w:val="Normal"/>
    <w:link w:val="Style14"/>
    <w:pPr>
      <w:ind w:firstLine="720"/>
      <w:jc w:val="both"/>
    </w:pPr>
    <w:rPr>
      <w:sz w:val="28"/>
      <w:szCs w:val="26"/>
    </w:rPr>
  </w:style>
  <w:style w:type="paragraph" w:styleId="1" w:customStyle="1">
    <w:name w:val="1 Знак"/>
    <w:basedOn w:val="Normal"/>
    <w:qFormat/>
    <w:rsid w:val="00d72e6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qFormat/>
    <w:rsid w:val="003c122c"/>
    <w:pPr>
      <w:spacing w:lineRule="auto" w:line="480" w:before="0" w:after="120"/>
    </w:pPr>
    <w:rPr/>
  </w:style>
  <w:style w:type="paragraph" w:styleId="BodyText3">
    <w:name w:val="Body Text 3"/>
    <w:basedOn w:val="Normal"/>
    <w:qFormat/>
    <w:rsid w:val="003c122c"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semiHidden/>
    <w:qFormat/>
    <w:rsid w:val="00296ff2"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71eca"/>
    <w:pPr>
      <w:ind w:left="-900"/>
      <w:jc w:val="center"/>
    </w:pPr>
    <w:rPr>
      <w:b/>
      <w:bCs/>
    </w:rPr>
  </w:style>
  <w:style w:type="paragraph" w:styleId="11" w:customStyle="1">
    <w:name w:val="Стиль1"/>
    <w:basedOn w:val="Normal"/>
    <w:qFormat/>
    <w:rsid w:val="00261ea6"/>
    <w:pPr>
      <w:ind w:firstLine="709"/>
      <w:jc w:val="both"/>
    </w:pPr>
    <w:rPr>
      <w:szCs w:val="20"/>
    </w:rPr>
  </w:style>
  <w:style w:type="paragraph" w:styleId="ConsPlusNonformat" w:customStyle="1">
    <w:name w:val="ConsPlusNonformat"/>
    <w:qFormat/>
    <w:rsid w:val="00022580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0225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6b472c"/>
    <w:pPr>
      <w:spacing w:lineRule="auto" w:line="480" w:before="0" w:after="120"/>
      <w:ind w:left="283"/>
    </w:pPr>
    <w:rPr/>
  </w:style>
  <w:style w:type="paragraph" w:styleId="ConsPlusNormal" w:customStyle="1">
    <w:name w:val="ConsPlusNormal"/>
    <w:qFormat/>
    <w:rsid w:val="006b472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0">
    <w:name w:val="Колонтитул"/>
    <w:basedOn w:val="Normal"/>
    <w:qFormat/>
    <w:pPr/>
    <w:rPr/>
  </w:style>
  <w:style w:type="paragraph" w:styleId="Footer">
    <w:name w:val="Footer"/>
    <w:basedOn w:val="Normal"/>
    <w:link w:val="Style13"/>
    <w:rsid w:val="0080089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TMLPreformatted">
    <w:name w:val="HTML Preformatted"/>
    <w:basedOn w:val="Normal"/>
    <w:link w:val="HTML"/>
    <w:unhideWhenUsed/>
    <w:qFormat/>
    <w:rsid w:val="000f2406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2c053b"/>
    <w:pPr>
      <w:ind w:left="708"/>
    </w:pPr>
    <w:rPr/>
  </w:style>
  <w:style w:type="paragraph" w:styleId="Header">
    <w:name w:val="Header"/>
    <w:basedOn w:val="Normal"/>
    <w:link w:val="Style16"/>
    <w:uiPriority w:val="99"/>
    <w:rsid w:val="001a27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7"/>
    <w:uiPriority w:val="99"/>
    <w:unhideWhenUsed/>
    <w:qFormat/>
    <w:rsid w:val="00c15c85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BD4E3-7B2F-4A87-A8F2-D5F03B58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Application>LibreOffice/7.6.7.2$Linux_X86_64 LibreOffice_project/60$Build-2</Application>
  <AppVersion>15.0000</AppVersion>
  <Pages>3</Pages>
  <Words>973</Words>
  <Characters>7383</Characters>
  <CharactersWithSpaces>8339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2021-07-02T13:11:00Z</dcterms:created>
  <dc:creator>УПР НАО</dc:creator>
  <dc:description/>
  <dc:language>ru-RU</dc:language>
  <cp:lastModifiedBy/>
  <cp:lastPrinted>2021-12-27T08:01:00Z</cp:lastPrinted>
  <dcterms:modified xsi:type="dcterms:W3CDTF">2026-02-02T10:03:19Z</dcterms:modified>
  <cp:revision>61</cp:revision>
  <dc:subject/>
  <dc:title>пояснительная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